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7091969"/>
    <w:p w14:paraId="14D12D93" w14:textId="7788FEA1" w:rsidR="007E5043" w:rsidRDefault="007E5043">
      <w:pPr>
        <w:spacing w:after="160" w:line="259" w:lineRule="auto"/>
        <w:rPr>
          <w:rFonts w:asciiTheme="minorHAnsi" w:hAnsiTheme="minorHAnsi" w:cstheme="minorHAnsi"/>
        </w:rPr>
        <w:sectPr w:rsidR="007E5043" w:rsidSect="007E5043">
          <w:pgSz w:w="11906" w:h="16838"/>
          <w:pgMar w:top="238" w:right="244" w:bottom="244" w:left="23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5634" wp14:editId="33CB3A8F">
                <wp:simplePos x="0" y="0"/>
                <wp:positionH relativeFrom="column">
                  <wp:posOffset>3611245</wp:posOffset>
                </wp:positionH>
                <wp:positionV relativeFrom="paragraph">
                  <wp:posOffset>7640320</wp:posOffset>
                </wp:positionV>
                <wp:extent cx="3086100" cy="22574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53056" w14:textId="77777777" w:rsidR="00403BB3" w:rsidRPr="00403BB3" w:rsidRDefault="00403BB3" w:rsidP="00403BB3">
                            <w:pPr>
                              <w:keepNext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520" w:lineRule="atLeast"/>
                              <w:textAlignment w:val="center"/>
                              <w:rPr>
                                <w:rFonts w:eastAsiaTheme="minorHAnsi" w:cs="Calibri"/>
                                <w:caps/>
                                <w:color w:val="E3051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</w:pPr>
                            <w:r w:rsidRPr="00403BB3">
                              <w:rPr>
                                <w:rFonts w:eastAsiaTheme="minorHAnsi" w:cs="Calibri"/>
                                <w:caps/>
                                <w:color w:val="0090D6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t>Fakulta</w:t>
                            </w:r>
                            <w:r w:rsidRPr="00403BB3">
                              <w:rPr>
                                <w:rFonts w:eastAsiaTheme="minorHAnsi" w:cs="Calibri"/>
                                <w:caps/>
                                <w:color w:val="0090D6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br/>
                              <w:t>zdravotnických studií</w:t>
                            </w:r>
                          </w:p>
                          <w:p w14:paraId="3F1C10FC" w14:textId="77777777" w:rsidR="00403BB3" w:rsidRPr="00403BB3" w:rsidRDefault="00403BB3" w:rsidP="00403BB3">
                            <w:pPr>
                              <w:keepNext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520" w:lineRule="atLeast"/>
                              <w:textAlignment w:val="center"/>
                              <w:rPr>
                                <w:rFonts w:eastAsiaTheme="minorHAnsi" w:cs="Calibri"/>
                                <w:caps/>
                                <w:color w:val="E3051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</w:pPr>
                            <w:r w:rsidRPr="00403BB3">
                              <w:rPr>
                                <w:rFonts w:eastAsiaTheme="minorHAnsi" w:cs="Calibri"/>
                                <w:caps/>
                                <w:color w:val="000000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t>univerzita Pardubice</w:t>
                            </w:r>
                          </w:p>
                          <w:p w14:paraId="32C460CD" w14:textId="77777777" w:rsidR="00403BB3" w:rsidRPr="00403BB3" w:rsidRDefault="00403BB3" w:rsidP="00403BB3">
                            <w:pPr>
                              <w:keepNext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520" w:lineRule="atLeast"/>
                              <w:textAlignment w:val="center"/>
                              <w:rPr>
                                <w:rFonts w:eastAsiaTheme="minorHAnsi" w:cs="Calibri"/>
                                <w:b/>
                                <w:bCs/>
                                <w:caps/>
                                <w:color w:val="009EE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</w:pPr>
                            <w:r w:rsidRPr="00403BB3">
                              <w:rPr>
                                <w:rFonts w:eastAsiaTheme="minorHAnsi" w:cs="Calibri"/>
                                <w:b/>
                                <w:bCs/>
                                <w:caps/>
                                <w:color w:val="009EE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t>Výroční zpráva</w:t>
                            </w:r>
                            <w:r w:rsidRPr="00403BB3">
                              <w:rPr>
                                <w:rFonts w:eastAsiaTheme="minorHAnsi" w:cs="Calibri"/>
                                <w:b/>
                                <w:bCs/>
                                <w:caps/>
                                <w:color w:val="009EE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br/>
                              <w:t xml:space="preserve">o hospodaření </w:t>
                            </w:r>
                          </w:p>
                          <w:p w14:paraId="32C261D4" w14:textId="4AB6FBF1" w:rsidR="00403BB3" w:rsidRPr="00403BB3" w:rsidRDefault="00403BB3" w:rsidP="00403BB3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3DA345"/>
                                <w:kern w:val="2"/>
                                <w:szCs w:val="22"/>
                                <w:lang w:eastAsia="en-US"/>
                                <w14:ligatures w14:val="standardContextual"/>
                              </w:rPr>
                            </w:pPr>
                            <w:r w:rsidRPr="00403BB3">
                              <w:rPr>
                                <w:rFonts w:eastAsiaTheme="minorHAnsi" w:cs="Calibri"/>
                                <w:b/>
                                <w:bCs/>
                                <w:caps/>
                                <w:color w:val="009EE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t>202</w:t>
                            </w:r>
                            <w:r w:rsidR="00BA0871">
                              <w:rPr>
                                <w:rFonts w:eastAsiaTheme="minorHAnsi" w:cs="Calibri"/>
                                <w:b/>
                                <w:bCs/>
                                <w:caps/>
                                <w:color w:val="009EE3"/>
                                <w:sz w:val="36"/>
                                <w:szCs w:val="36"/>
                                <w:lang w:eastAsia="en-US"/>
                                <w14:ligatures w14:val="standardContextual"/>
                              </w:rPr>
                              <w:t>5</w:t>
                            </w:r>
                          </w:p>
                          <w:p w14:paraId="59C9BAC5" w14:textId="77777777" w:rsidR="007E5043" w:rsidRDefault="007E5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D563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84.35pt;margin-top:601.6pt;width:243pt;height:1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" fillcolor="white [3201]" stroked="f" strokeweight=".5pt">
                <v:textbox>
                  <w:txbxContent>
                    <w:p w14:paraId="01053056" w14:textId="77777777" w:rsidR="00403BB3" w:rsidRPr="00403BB3" w:rsidRDefault="00403BB3" w:rsidP="00403BB3">
                      <w:pPr>
                        <w:keepNext/>
                        <w:suppressAutoHyphens/>
                        <w:autoSpaceDE w:val="0"/>
                        <w:autoSpaceDN w:val="0"/>
                        <w:adjustRightInd w:val="0"/>
                        <w:spacing w:line="520" w:lineRule="atLeast"/>
                        <w:textAlignment w:val="center"/>
                        <w:rPr>
                          <w:rFonts w:eastAsiaTheme="minorHAnsi" w:cs="Calibri"/>
                          <w:caps/>
                          <w:color w:val="E30513"/>
                          <w:sz w:val="36"/>
                          <w:szCs w:val="36"/>
                          <w:lang w:eastAsia="en-US"/>
                          <w14:ligatures w14:val="standardContextual"/>
                        </w:rPr>
                      </w:pPr>
                      <w:r w:rsidRPr="00403BB3">
                        <w:rPr>
                          <w:rFonts w:eastAsiaTheme="minorHAnsi" w:cs="Calibri"/>
                          <w:caps/>
                          <w:color w:val="0090D6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t>Fakulta</w:t>
                      </w:r>
                      <w:r w:rsidRPr="00403BB3">
                        <w:rPr>
                          <w:rFonts w:eastAsiaTheme="minorHAnsi" w:cs="Calibri"/>
                          <w:caps/>
                          <w:color w:val="0090D6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br/>
                        <w:t>zdravotnických studií</w:t>
                      </w:r>
                    </w:p>
                    <w:p w14:paraId="3F1C10FC" w14:textId="77777777" w:rsidR="00403BB3" w:rsidRPr="00403BB3" w:rsidRDefault="00403BB3" w:rsidP="00403BB3">
                      <w:pPr>
                        <w:keepNext/>
                        <w:suppressAutoHyphens/>
                        <w:autoSpaceDE w:val="0"/>
                        <w:autoSpaceDN w:val="0"/>
                        <w:adjustRightInd w:val="0"/>
                        <w:spacing w:line="520" w:lineRule="atLeast"/>
                        <w:textAlignment w:val="center"/>
                        <w:rPr>
                          <w:rFonts w:eastAsiaTheme="minorHAnsi" w:cs="Calibri"/>
                          <w:caps/>
                          <w:color w:val="E30513"/>
                          <w:sz w:val="36"/>
                          <w:szCs w:val="36"/>
                          <w:lang w:eastAsia="en-US"/>
                          <w14:ligatures w14:val="standardContextual"/>
                        </w:rPr>
                      </w:pPr>
                      <w:r w:rsidRPr="00403BB3">
                        <w:rPr>
                          <w:rFonts w:eastAsiaTheme="minorHAnsi" w:cs="Calibri"/>
                          <w:caps/>
                          <w:color w:val="000000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t>univerzita Pardubice</w:t>
                      </w:r>
                    </w:p>
                    <w:p w14:paraId="32C460CD" w14:textId="77777777" w:rsidR="00403BB3" w:rsidRPr="00403BB3" w:rsidRDefault="00403BB3" w:rsidP="00403BB3">
                      <w:pPr>
                        <w:keepNext/>
                        <w:suppressAutoHyphens/>
                        <w:autoSpaceDE w:val="0"/>
                        <w:autoSpaceDN w:val="0"/>
                        <w:adjustRightInd w:val="0"/>
                        <w:spacing w:line="520" w:lineRule="atLeast"/>
                        <w:textAlignment w:val="center"/>
                        <w:rPr>
                          <w:rFonts w:eastAsiaTheme="minorHAnsi" w:cs="Calibri"/>
                          <w:b/>
                          <w:bCs/>
                          <w:caps/>
                          <w:color w:val="009EE3"/>
                          <w:sz w:val="36"/>
                          <w:szCs w:val="36"/>
                          <w:lang w:eastAsia="en-US"/>
                          <w14:ligatures w14:val="standardContextual"/>
                        </w:rPr>
                      </w:pPr>
                      <w:r w:rsidRPr="00403BB3">
                        <w:rPr>
                          <w:rFonts w:eastAsiaTheme="minorHAnsi" w:cs="Calibri"/>
                          <w:b/>
                          <w:bCs/>
                          <w:caps/>
                          <w:color w:val="009EE3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t>Výroční zpráva</w:t>
                      </w:r>
                      <w:r w:rsidRPr="00403BB3">
                        <w:rPr>
                          <w:rFonts w:eastAsiaTheme="minorHAnsi" w:cs="Calibri"/>
                          <w:b/>
                          <w:bCs/>
                          <w:caps/>
                          <w:color w:val="009EE3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br/>
                        <w:t xml:space="preserve">o hospodaření </w:t>
                      </w:r>
                    </w:p>
                    <w:p w14:paraId="32C261D4" w14:textId="4AB6FBF1" w:rsidR="00403BB3" w:rsidRPr="00403BB3" w:rsidRDefault="00403BB3" w:rsidP="00403BB3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3DA345"/>
                          <w:kern w:val="2"/>
                          <w:szCs w:val="22"/>
                          <w:lang w:eastAsia="en-US"/>
                          <w14:ligatures w14:val="standardContextual"/>
                        </w:rPr>
                      </w:pPr>
                      <w:r w:rsidRPr="00403BB3">
                        <w:rPr>
                          <w:rFonts w:eastAsiaTheme="minorHAnsi" w:cs="Calibri"/>
                          <w:b/>
                          <w:bCs/>
                          <w:caps/>
                          <w:color w:val="009EE3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t>202</w:t>
                      </w:r>
                      <w:r w:rsidR="00BA0871">
                        <w:rPr>
                          <w:rFonts w:eastAsiaTheme="minorHAnsi" w:cs="Calibri"/>
                          <w:b/>
                          <w:bCs/>
                          <w:caps/>
                          <w:color w:val="009EE3"/>
                          <w:sz w:val="36"/>
                          <w:szCs w:val="36"/>
                          <w:lang w:eastAsia="en-US"/>
                          <w14:ligatures w14:val="standardContextual"/>
                        </w:rPr>
                        <w:t>5</w:t>
                      </w:r>
                    </w:p>
                    <w:p w14:paraId="59C9BAC5" w14:textId="77777777" w:rsidR="007E5043" w:rsidRDefault="007E50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w:drawing>
          <wp:inline distT="0" distB="0" distL="0" distR="0" wp14:anchorId="6E69256C" wp14:editId="0BCB9D78">
            <wp:extent cx="7349797" cy="1041082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163" cy="1045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15E09" w14:textId="0B90D7D7" w:rsidR="00D54640" w:rsidRPr="00D54640" w:rsidRDefault="00D54640" w:rsidP="00D54640">
      <w:pPr>
        <w:pStyle w:val="Nadpis1bezobsahu"/>
        <w:numPr>
          <w:ilvl w:val="0"/>
          <w:numId w:val="0"/>
        </w:numPr>
        <w:rPr>
          <w:rFonts w:asciiTheme="minorHAnsi" w:hAnsiTheme="minorHAnsi" w:cstheme="minorHAnsi"/>
        </w:rPr>
      </w:pPr>
      <w:r w:rsidRPr="00D54640">
        <w:rPr>
          <w:rFonts w:asciiTheme="minorHAnsi" w:hAnsiTheme="minorHAnsi" w:cstheme="minorHAnsi"/>
        </w:rPr>
        <w:lastRenderedPageBreak/>
        <w:t xml:space="preserve">Obsah </w:t>
      </w:r>
      <w:bookmarkEnd w:id="0"/>
    </w:p>
    <w:p w14:paraId="3B9549D0" w14:textId="418FC747" w:rsidR="004B2C74" w:rsidRDefault="00D54640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r w:rsidRPr="002F4254">
        <w:rPr>
          <w:b w:val="0"/>
        </w:rPr>
        <w:fldChar w:fldCharType="begin"/>
      </w:r>
      <w:r w:rsidRPr="002F4254">
        <w:instrText xml:space="preserve"> TOC \o "2-2" \h \z \t "Nadpis 1;1;Nadpis 1 příloha;1" </w:instrText>
      </w:r>
      <w:r w:rsidRPr="002F4254">
        <w:rPr>
          <w:b w:val="0"/>
        </w:rPr>
        <w:fldChar w:fldCharType="separate"/>
      </w:r>
      <w:hyperlink w:anchor="_Toc162011990" w:history="1">
        <w:r w:rsidR="004B2C74" w:rsidRPr="001C633A">
          <w:rPr>
            <w:rStyle w:val="Hypertextovodkaz"/>
          </w:rPr>
          <w:t>1. Výnosy</w:t>
        </w:r>
        <w:r w:rsidR="004B2C74">
          <w:rPr>
            <w:webHidden/>
          </w:rPr>
          <w:tab/>
        </w:r>
        <w:r w:rsidR="004B2C74">
          <w:rPr>
            <w:webHidden/>
          </w:rPr>
          <w:fldChar w:fldCharType="begin"/>
        </w:r>
        <w:r w:rsidR="004B2C74">
          <w:rPr>
            <w:webHidden/>
          </w:rPr>
          <w:instrText xml:space="preserve"> PAGEREF _Toc162011990 \h </w:instrText>
        </w:r>
        <w:r w:rsidR="004B2C74">
          <w:rPr>
            <w:webHidden/>
          </w:rPr>
        </w:r>
        <w:r w:rsidR="004B2C74">
          <w:rPr>
            <w:webHidden/>
          </w:rPr>
          <w:fldChar w:fldCharType="separate"/>
        </w:r>
        <w:r w:rsidR="001A1B2F">
          <w:rPr>
            <w:webHidden/>
          </w:rPr>
          <w:t>4</w:t>
        </w:r>
        <w:r w:rsidR="004B2C74">
          <w:rPr>
            <w:webHidden/>
          </w:rPr>
          <w:fldChar w:fldCharType="end"/>
        </w:r>
      </w:hyperlink>
    </w:p>
    <w:p w14:paraId="693D8322" w14:textId="57EACAFC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1991" w:history="1">
        <w:r w:rsidRPr="001C633A">
          <w:rPr>
            <w:rStyle w:val="Hypertextovodkaz"/>
          </w:rPr>
          <w:t>2. Náklady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7F2359" w14:textId="27DF666F" w:rsidR="004B2C74" w:rsidRDefault="004B2C74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2011993" w:history="1">
        <w:r w:rsidRPr="001C633A">
          <w:rPr>
            <w:rStyle w:val="Hypertextovodkaz"/>
          </w:rPr>
          <w:t>2.1 Srovnání skutečných nákladů s rozpočtem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7C03F2" w14:textId="09DEA13A" w:rsidR="004B2C74" w:rsidRDefault="004B2C74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2011994" w:history="1">
        <w:r w:rsidRPr="001C633A">
          <w:rPr>
            <w:rStyle w:val="Hypertextovodkaz"/>
          </w:rPr>
          <w:t>2.2 Druhové členění nákladů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B022FE" w14:textId="4A6A33ED" w:rsidR="004B2C74" w:rsidRDefault="004B2C74">
      <w:pPr>
        <w:pStyle w:val="Obsah2"/>
        <w:rPr>
          <w:rFonts w:asciiTheme="minorHAnsi" w:eastAsiaTheme="minorEastAsia" w:hAnsiTheme="minorHAnsi" w:cstheme="minorBidi"/>
          <w:kern w:val="2"/>
          <w:szCs w:val="22"/>
          <w14:ligatures w14:val="standardContextual"/>
        </w:rPr>
      </w:pPr>
      <w:hyperlink w:anchor="_Toc162011995" w:history="1">
        <w:r w:rsidRPr="001C633A">
          <w:rPr>
            <w:rStyle w:val="Hypertextovodkaz"/>
          </w:rPr>
          <w:t>2. 3 Druhové členění nákladů na vědu a výzkum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3B606F" w14:textId="1BEC8BBD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1996" w:history="1">
        <w:r w:rsidRPr="001C633A">
          <w:rPr>
            <w:rStyle w:val="Hypertextovodkaz"/>
          </w:rPr>
          <w:t>3. Hospodářský výsledek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EF6D65" w14:textId="6877EC78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1997" w:history="1">
        <w:r w:rsidRPr="001C633A">
          <w:rPr>
            <w:rStyle w:val="Hypertextovodkaz"/>
          </w:rPr>
          <w:t>4. Investiční prostředky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B44AB2F" w14:textId="357F3296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1998" w:history="1">
        <w:r w:rsidRPr="001C633A">
          <w:rPr>
            <w:rStyle w:val="Hypertextovodkaz"/>
          </w:rPr>
          <w:t>5. Tvorba a čerpání fondů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4680EB4" w14:textId="23BFF4E2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1999" w:history="1">
        <w:r w:rsidRPr="001C633A">
          <w:rPr>
            <w:rStyle w:val="Hypertextovodkaz"/>
          </w:rPr>
          <w:t>6. 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08E70F" w14:textId="136CEE0E" w:rsidR="004B2C74" w:rsidRDefault="004B2C74">
      <w:pPr>
        <w:pStyle w:val="Obsah1"/>
        <w:rPr>
          <w:rFonts w:asciiTheme="minorHAnsi" w:eastAsiaTheme="minorEastAsia" w:hAnsiTheme="minorHAnsi" w:cstheme="minorBidi"/>
          <w:b w:val="0"/>
          <w:kern w:val="2"/>
          <w:szCs w:val="22"/>
          <w14:ligatures w14:val="standardContextual"/>
        </w:rPr>
      </w:pPr>
      <w:hyperlink w:anchor="_Toc162012000" w:history="1">
        <w:r w:rsidRPr="001C633A">
          <w:rPr>
            <w:rStyle w:val="Hypertextovodkaz"/>
          </w:rPr>
          <w:t>Použité zkratky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_Toc162012000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1B2F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BCC6256" w14:textId="6B94F1DB" w:rsidR="00FC3B7A" w:rsidRDefault="00D54640" w:rsidP="4F5C4172">
      <w:pPr>
        <w:rPr>
          <w:b/>
        </w:rPr>
      </w:pPr>
      <w:r w:rsidRPr="002F4254">
        <w:rPr>
          <w:b/>
        </w:rPr>
        <w:fldChar w:fldCharType="end"/>
      </w:r>
    </w:p>
    <w:p w14:paraId="18AA8AAB" w14:textId="77777777" w:rsidR="00E17DC5" w:rsidRDefault="00E17DC5">
      <w:pPr>
        <w:spacing w:after="160" w:line="259" w:lineRule="auto"/>
        <w:rPr>
          <w:b/>
        </w:rPr>
        <w:sectPr w:rsidR="00E17D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370D7" w14:textId="1CFCDD8E" w:rsidR="4F5C4172" w:rsidRPr="00512134" w:rsidRDefault="00512134" w:rsidP="4F5C4172">
      <w:pPr>
        <w:rPr>
          <w:rFonts w:cs="Calibri"/>
          <w:b/>
          <w:color w:val="00AEEF"/>
          <w:sz w:val="44"/>
          <w:szCs w:val="44"/>
        </w:rPr>
      </w:pPr>
      <w:r w:rsidRPr="00512134">
        <w:rPr>
          <w:rFonts w:cs="Calibri"/>
          <w:b/>
          <w:color w:val="00AEEF"/>
          <w:sz w:val="44"/>
          <w:szCs w:val="44"/>
        </w:rPr>
        <w:lastRenderedPageBreak/>
        <w:t>Úvod</w:t>
      </w:r>
    </w:p>
    <w:p w14:paraId="3CEAE2CF" w14:textId="26955BF6" w:rsidR="00512134" w:rsidRDefault="00512134" w:rsidP="4F5C4172"/>
    <w:p w14:paraId="508E1EC3" w14:textId="05EF98CD" w:rsidR="00512134" w:rsidRPr="00512134" w:rsidRDefault="00512134" w:rsidP="00512134">
      <w:pPr>
        <w:pStyle w:val="Denisa"/>
        <w:spacing w:line="360" w:lineRule="auto"/>
        <w:jc w:val="both"/>
        <w:rPr>
          <w:rFonts w:asciiTheme="minorHAnsi" w:hAnsiTheme="minorHAnsi"/>
        </w:rPr>
      </w:pPr>
      <w:r w:rsidRPr="00512134">
        <w:rPr>
          <w:rFonts w:asciiTheme="minorHAnsi" w:hAnsiTheme="minorHAnsi"/>
        </w:rPr>
        <w:t xml:space="preserve">Ve smyslu § 27, odstavce 1 d), zákona č. 111/1998 Sb., </w:t>
      </w:r>
      <w:r w:rsidR="000B374E">
        <w:rPr>
          <w:rFonts w:asciiTheme="minorHAnsi" w:hAnsiTheme="minorHAnsi"/>
        </w:rPr>
        <w:t xml:space="preserve">Zákon o vysokých školách </w:t>
      </w:r>
      <w:r w:rsidR="001C4ED3">
        <w:rPr>
          <w:rFonts w:asciiTheme="minorHAnsi" w:hAnsiTheme="minorHAnsi"/>
        </w:rPr>
        <w:t xml:space="preserve">v platném znění, </w:t>
      </w:r>
      <w:r w:rsidRPr="00512134">
        <w:rPr>
          <w:rFonts w:asciiTheme="minorHAnsi" w:hAnsiTheme="minorHAnsi"/>
        </w:rPr>
        <w:t>děkan Fakulty zdravotnických studií předkládá zprávu o hospodaření fakulty za rok 202</w:t>
      </w:r>
      <w:r w:rsidR="009873D9">
        <w:rPr>
          <w:rFonts w:asciiTheme="minorHAnsi" w:hAnsiTheme="minorHAnsi"/>
        </w:rPr>
        <w:t>5</w:t>
      </w:r>
      <w:r w:rsidRPr="00512134">
        <w:rPr>
          <w:rFonts w:asciiTheme="minorHAnsi" w:hAnsiTheme="minorHAnsi"/>
        </w:rPr>
        <w:t xml:space="preserve">. </w:t>
      </w:r>
    </w:p>
    <w:p w14:paraId="773F0B2F" w14:textId="332768F2" w:rsidR="00512134" w:rsidRPr="00512134" w:rsidRDefault="00512134" w:rsidP="00512134">
      <w:pPr>
        <w:pStyle w:val="Denisa"/>
        <w:spacing w:line="360" w:lineRule="auto"/>
        <w:jc w:val="both"/>
        <w:rPr>
          <w:rFonts w:asciiTheme="minorHAnsi" w:hAnsiTheme="minorHAnsi"/>
        </w:rPr>
      </w:pPr>
      <w:r w:rsidRPr="00512134">
        <w:rPr>
          <w:rFonts w:asciiTheme="minorHAnsi" w:hAnsiTheme="minorHAnsi"/>
        </w:rPr>
        <w:t xml:space="preserve">První část výroční zprávy o hospodaření je věnována neinvestičním výnosům fakulty a jejich stručné analýze. V druhé části je popsána struktura neinvestičních nákladů, a to jak z hlediska účelu a činností, na které byly využity, tak z hlediska druhového členění nákladů. Třetí část je věnována srovnání nákladů a výnosů včetně vyčíslení hospodářského výsledku fakulty. Ve čtvrté části je uvedena struktura investičních prostředků a přehled jejich čerpání. Pátá část je věnována rozboru tvorby a čerpání fondů, které má fakulta k dispozici. V závěru zprávy je provedeno konečné shrnutí a zhodnocení všech </w:t>
      </w:r>
      <w:r w:rsidR="000845BA">
        <w:rPr>
          <w:rFonts w:asciiTheme="minorHAnsi" w:hAnsiTheme="minorHAnsi"/>
        </w:rPr>
        <w:t>aspektů hospodaření fakulty v roce 202</w:t>
      </w:r>
      <w:r w:rsidR="00964942">
        <w:rPr>
          <w:rFonts w:asciiTheme="minorHAnsi" w:hAnsiTheme="minorHAnsi"/>
        </w:rPr>
        <w:t>5</w:t>
      </w:r>
      <w:r w:rsidR="000845BA">
        <w:rPr>
          <w:rFonts w:asciiTheme="minorHAnsi" w:hAnsiTheme="minorHAnsi"/>
        </w:rPr>
        <w:t>.</w:t>
      </w:r>
      <w:r w:rsidRPr="00512134">
        <w:rPr>
          <w:rFonts w:asciiTheme="minorHAnsi" w:hAnsiTheme="minorHAnsi"/>
        </w:rPr>
        <w:t xml:space="preserve"> </w:t>
      </w:r>
    </w:p>
    <w:p w14:paraId="4AF5BE30" w14:textId="37002326" w:rsidR="00512134" w:rsidRDefault="00512134" w:rsidP="4F5C4172"/>
    <w:p w14:paraId="1B5145CB" w14:textId="32A0C2CA" w:rsidR="00512134" w:rsidRDefault="00512134">
      <w:pPr>
        <w:spacing w:after="160" w:line="259" w:lineRule="auto"/>
      </w:pPr>
      <w:r>
        <w:br w:type="page"/>
      </w:r>
    </w:p>
    <w:p w14:paraId="0F4A7892" w14:textId="52D25514" w:rsidR="00512134" w:rsidRPr="00512134" w:rsidRDefault="0067569B" w:rsidP="0067569B">
      <w:pPr>
        <w:pStyle w:val="Nadpis1"/>
        <w:numPr>
          <w:ilvl w:val="0"/>
          <w:numId w:val="0"/>
        </w:numPr>
      </w:pPr>
      <w:bookmarkStart w:id="1" w:name="_Toc162011990"/>
      <w:r>
        <w:lastRenderedPageBreak/>
        <w:t xml:space="preserve">1. </w:t>
      </w:r>
      <w:r w:rsidR="00512134" w:rsidRPr="00512134">
        <w:t>Výnosy</w:t>
      </w:r>
      <w:bookmarkEnd w:id="1"/>
    </w:p>
    <w:p w14:paraId="51FB99B4" w14:textId="02D054E5" w:rsidR="00512134" w:rsidRDefault="00512134" w:rsidP="4F5C4172"/>
    <w:p w14:paraId="0D5590C3" w14:textId="2A642708" w:rsidR="00C0760F" w:rsidRDefault="00C0760F" w:rsidP="00C0760F">
      <w:pPr>
        <w:jc w:val="both"/>
      </w:pPr>
      <w:r>
        <w:t>Neinvestiční výnosy fakulty v roce 202</w:t>
      </w:r>
      <w:r w:rsidR="00D93676">
        <w:t>5</w:t>
      </w:r>
      <w:r>
        <w:t xml:space="preserve"> činily </w:t>
      </w:r>
      <w:r w:rsidR="00964942">
        <w:rPr>
          <w:b/>
          <w:bCs/>
        </w:rPr>
        <w:t>110 054</w:t>
      </w:r>
      <w:r w:rsidRPr="00BA7051">
        <w:rPr>
          <w:b/>
        </w:rPr>
        <w:t xml:space="preserve"> tis. Kč</w:t>
      </w:r>
      <w:r>
        <w:t xml:space="preserve">. Výnosy fakulty tvoří dotace </w:t>
      </w:r>
      <w:r w:rsidR="00FD464A">
        <w:t xml:space="preserve">Ministerstva školství, mládeže a tělovýchovy </w:t>
      </w:r>
      <w:r w:rsidR="00873BED">
        <w:t xml:space="preserve">(dále jen MŠMT), </w:t>
      </w:r>
      <w:r>
        <w:t xml:space="preserve">členěná na část A a K, </w:t>
      </w:r>
      <w:r w:rsidR="000347EF">
        <w:t>vzdělávací projekty dle ukazatele F</w:t>
      </w:r>
      <w:r>
        <w:t>, rozvojové programy</w:t>
      </w:r>
      <w:r w:rsidR="000347EF">
        <w:t xml:space="preserve"> MŠMT</w:t>
      </w:r>
      <w:r>
        <w:t>, prostředky na podporu výzkumu a vývoje,</w:t>
      </w:r>
      <w:r w:rsidR="000347EF">
        <w:t xml:space="preserve"> prostředky získané z grantových prostředků,</w:t>
      </w:r>
      <w:r>
        <w:t xml:space="preserve"> </w:t>
      </w:r>
      <w:r w:rsidR="0053691F">
        <w:t xml:space="preserve">výnosy z </w:t>
      </w:r>
      <w:r w:rsidR="000845BA">
        <w:t>kurz</w:t>
      </w:r>
      <w:r w:rsidR="0053691F">
        <w:t>ů</w:t>
      </w:r>
      <w:r w:rsidR="000845BA">
        <w:t xml:space="preserve"> </w:t>
      </w:r>
      <w:r>
        <w:t>doplňkové činnosti</w:t>
      </w:r>
      <w:r w:rsidR="000845BA">
        <w:t xml:space="preserve">, </w:t>
      </w:r>
      <w:r w:rsidR="000845BA" w:rsidRPr="000845BA">
        <w:t>stipendia</w:t>
      </w:r>
      <w:r>
        <w:t xml:space="preserve"> a ostatní příjmy (poplatky za přijímací řízení, dary</w:t>
      </w:r>
      <w:r w:rsidR="00D26BB1">
        <w:t xml:space="preserve">, realizace </w:t>
      </w:r>
      <w:r w:rsidR="000845BA">
        <w:t>celoživotního vzdělávání</w:t>
      </w:r>
      <w:r>
        <w:t>). Podrobnější členění neinvestičních výnosů je uvedeno v tabulce 1, ve které je zároveň vyčíslen i rozdíl oproti schválenému rozpočtu. Skutečné čerpání je pak znázorněno v posledním sloupci.</w:t>
      </w:r>
    </w:p>
    <w:p w14:paraId="24E8DB93" w14:textId="143C4D7A" w:rsidR="00C0760F" w:rsidRDefault="00C0760F" w:rsidP="00C0760F">
      <w:pPr>
        <w:jc w:val="both"/>
      </w:pPr>
    </w:p>
    <w:p w14:paraId="3D5D44F6" w14:textId="73B39417" w:rsidR="00D26BB1" w:rsidRDefault="00715E87" w:rsidP="00C0760F">
      <w:pPr>
        <w:jc w:val="both"/>
      </w:pPr>
      <w:r w:rsidRPr="004D22A3">
        <w:rPr>
          <w:rStyle w:val="Nzevknihy"/>
        </w:rPr>
        <w:t xml:space="preserve">Tabulka 1 Neinvestiční výnosy </w:t>
      </w:r>
    </w:p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3"/>
        <w:gridCol w:w="1185"/>
        <w:gridCol w:w="1185"/>
        <w:gridCol w:w="1196"/>
        <w:gridCol w:w="150"/>
      </w:tblGrid>
      <w:tr w:rsidR="00890A34" w:rsidRPr="00890A34" w14:paraId="65D54C9A" w14:textId="77777777" w:rsidTr="00890A34">
        <w:trPr>
          <w:gridAfter w:val="1"/>
          <w:wAfter w:w="150" w:type="dxa"/>
          <w:trHeight w:val="450"/>
        </w:trPr>
        <w:tc>
          <w:tcPr>
            <w:tcW w:w="553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37F540B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Neinvestiční výnosy (v tis. Kč)</w:t>
            </w:r>
          </w:p>
        </w:tc>
        <w:tc>
          <w:tcPr>
            <w:tcW w:w="11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6C814C5" w14:textId="77777777" w:rsidR="00890A34" w:rsidRPr="00890A34" w:rsidRDefault="00890A34" w:rsidP="00890A34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Rozpočet</w:t>
            </w:r>
          </w:p>
        </w:tc>
        <w:tc>
          <w:tcPr>
            <w:tcW w:w="11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4D19D2F" w14:textId="77777777" w:rsidR="00890A34" w:rsidRPr="00890A34" w:rsidRDefault="00890A34" w:rsidP="00890A34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Rozdíl</w:t>
            </w:r>
          </w:p>
        </w:tc>
        <w:tc>
          <w:tcPr>
            <w:tcW w:w="119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8880931" w14:textId="77777777" w:rsidR="00890A34" w:rsidRPr="00890A34" w:rsidRDefault="00890A34" w:rsidP="00890A34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Skutečnost</w:t>
            </w:r>
          </w:p>
        </w:tc>
      </w:tr>
      <w:tr w:rsidR="00890A34" w:rsidRPr="00890A34" w14:paraId="17123181" w14:textId="77777777" w:rsidTr="00890A34">
        <w:trPr>
          <w:trHeight w:val="312"/>
        </w:trPr>
        <w:tc>
          <w:tcPr>
            <w:tcW w:w="553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E8ABCD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13BAFA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F8EB0D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9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E30A9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7C32" w14:textId="77777777" w:rsidR="00890A34" w:rsidRPr="00890A34" w:rsidRDefault="00890A34" w:rsidP="00890A34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890A34" w:rsidRPr="00890A34" w14:paraId="11C5941E" w14:textId="77777777" w:rsidTr="00890A34">
        <w:trPr>
          <w:trHeight w:val="312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001E334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Neinvestiční prostředky (příspěvek, dotace) MŠMT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376045A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99 288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191CEF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1BD53D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99 288</w:t>
            </w:r>
          </w:p>
        </w:tc>
        <w:tc>
          <w:tcPr>
            <w:tcW w:w="150" w:type="dxa"/>
            <w:vAlign w:val="center"/>
            <w:hideMark/>
          </w:tcPr>
          <w:p w14:paraId="57451F10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F8C9AD2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EB35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studijní programy (ukazatel AK):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45D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81 515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3C8A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5D43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81 515</w:t>
            </w:r>
          </w:p>
        </w:tc>
        <w:tc>
          <w:tcPr>
            <w:tcW w:w="150" w:type="dxa"/>
            <w:vAlign w:val="center"/>
            <w:hideMark/>
          </w:tcPr>
          <w:p w14:paraId="699FB917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5E36FAF4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409B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 xml:space="preserve">        příspěvek útvaru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5DB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81 515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6E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9EB7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81 515</w:t>
            </w:r>
          </w:p>
        </w:tc>
        <w:tc>
          <w:tcPr>
            <w:tcW w:w="150" w:type="dxa"/>
            <w:vAlign w:val="center"/>
            <w:hideMark/>
          </w:tcPr>
          <w:p w14:paraId="4BE9AA4C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3EDB16A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3835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stipendia - doktorandi (ukazatel C)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33BA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44C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865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50" w:type="dxa"/>
            <w:vAlign w:val="center"/>
            <w:hideMark/>
          </w:tcPr>
          <w:p w14:paraId="4357A1F9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8637386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EED3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zahraniční studenti, mezinárodní spolupráce (ukazatel D)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DAC9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2B76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0A8F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50" w:type="dxa"/>
            <w:vAlign w:val="center"/>
            <w:hideMark/>
          </w:tcPr>
          <w:p w14:paraId="06D0EEBD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7A435CE7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8B43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vzdělávací projekty, programy a záměry (ukazatel F)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49E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17 748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F8F8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FCD6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17 748</w:t>
            </w:r>
          </w:p>
        </w:tc>
        <w:tc>
          <w:tcPr>
            <w:tcW w:w="150" w:type="dxa"/>
            <w:vAlign w:val="center"/>
            <w:hideMark/>
          </w:tcPr>
          <w:p w14:paraId="3D79872B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EECE70E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F36C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rozvojové a transformační projekty MŠMT (ukazatel I):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201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0D58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B8C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25</w:t>
            </w:r>
          </w:p>
        </w:tc>
        <w:tc>
          <w:tcPr>
            <w:tcW w:w="150" w:type="dxa"/>
            <w:vAlign w:val="center"/>
            <w:hideMark/>
          </w:tcPr>
          <w:p w14:paraId="0DC02234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4CB395DA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168C67A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Dotace na reprodukci majetku, (prog. financování) NIV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B92E740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DBE4D2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8A3B54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50" w:type="dxa"/>
            <w:vAlign w:val="center"/>
            <w:hideMark/>
          </w:tcPr>
          <w:p w14:paraId="4B6DC1E0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15BA1BB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088A01E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Podpora výzkumu a vývoje (MŠMT)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4736329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3 016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9AFE19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B6DC1C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3 016</w:t>
            </w:r>
          </w:p>
        </w:tc>
        <w:tc>
          <w:tcPr>
            <w:tcW w:w="150" w:type="dxa"/>
            <w:vAlign w:val="center"/>
            <w:hideMark/>
          </w:tcPr>
          <w:p w14:paraId="3CAF04E5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D11F576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42EC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institucionální prostředky: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3637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2 636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DE0D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A583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2 636</w:t>
            </w:r>
          </w:p>
        </w:tc>
        <w:tc>
          <w:tcPr>
            <w:tcW w:w="150" w:type="dxa"/>
            <w:vAlign w:val="center"/>
            <w:hideMark/>
          </w:tcPr>
          <w:p w14:paraId="55C9781E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E796483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26C30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 xml:space="preserve">       rozvoj výzkumné organizace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D296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2 636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541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E43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2 636</w:t>
            </w:r>
          </w:p>
        </w:tc>
        <w:tc>
          <w:tcPr>
            <w:tcW w:w="150" w:type="dxa"/>
            <w:vAlign w:val="center"/>
            <w:hideMark/>
          </w:tcPr>
          <w:p w14:paraId="32631716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8EFC672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1ADF0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účelové prostředky: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9A70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380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BB1E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2E4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380</w:t>
            </w:r>
          </w:p>
        </w:tc>
        <w:tc>
          <w:tcPr>
            <w:tcW w:w="150" w:type="dxa"/>
            <w:vAlign w:val="center"/>
            <w:hideMark/>
          </w:tcPr>
          <w:p w14:paraId="0D419B4E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09D12708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C55B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 xml:space="preserve">      specifický výzkum VŠ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BE18A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380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4EC9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653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380</w:t>
            </w:r>
          </w:p>
        </w:tc>
        <w:tc>
          <w:tcPr>
            <w:tcW w:w="150" w:type="dxa"/>
            <w:vAlign w:val="center"/>
            <w:hideMark/>
          </w:tcPr>
          <w:p w14:paraId="3C9DB90E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66D87C89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D30252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Získané granty a projekty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50CE845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1 253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3768C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465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7BC29C3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1 718</w:t>
            </w:r>
          </w:p>
        </w:tc>
        <w:tc>
          <w:tcPr>
            <w:tcW w:w="150" w:type="dxa"/>
            <w:vAlign w:val="center"/>
            <w:hideMark/>
          </w:tcPr>
          <w:p w14:paraId="789AD489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0AC3A6A7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7BD9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GAČR, TAČR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F2C7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5F95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C62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226</w:t>
            </w:r>
          </w:p>
        </w:tc>
        <w:tc>
          <w:tcPr>
            <w:tcW w:w="150" w:type="dxa"/>
            <w:vAlign w:val="center"/>
            <w:hideMark/>
          </w:tcPr>
          <w:p w14:paraId="3B35672B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E63592E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19D5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zahraniční granty a projekty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A697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E11F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3C2D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50" w:type="dxa"/>
            <w:vAlign w:val="center"/>
            <w:hideMark/>
          </w:tcPr>
          <w:p w14:paraId="5C7562FD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EC7D09E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084F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OP VVV, NPO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AD4A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1 253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F3F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C703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1 492</w:t>
            </w:r>
          </w:p>
        </w:tc>
        <w:tc>
          <w:tcPr>
            <w:tcW w:w="150" w:type="dxa"/>
            <w:vAlign w:val="center"/>
            <w:hideMark/>
          </w:tcPr>
          <w:p w14:paraId="3057AE55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0F7A8E40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F9CA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další granty a projekty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DA3A8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45B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381B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0</w:t>
            </w:r>
          </w:p>
        </w:tc>
        <w:tc>
          <w:tcPr>
            <w:tcW w:w="150" w:type="dxa"/>
            <w:vAlign w:val="center"/>
            <w:hideMark/>
          </w:tcPr>
          <w:p w14:paraId="7881327B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FD71364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BAFE093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Doplňková činnost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5475180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538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C0E7D2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2E34ED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667</w:t>
            </w:r>
          </w:p>
        </w:tc>
        <w:tc>
          <w:tcPr>
            <w:tcW w:w="150" w:type="dxa"/>
            <w:vAlign w:val="center"/>
            <w:hideMark/>
          </w:tcPr>
          <w:p w14:paraId="2553EDD0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43217098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90F9A1A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Čerpání fondů (FO, FPP, FÚUP, SF)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97A8D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926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3343DCF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328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33E68D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1 254</w:t>
            </w:r>
          </w:p>
        </w:tc>
        <w:tc>
          <w:tcPr>
            <w:tcW w:w="150" w:type="dxa"/>
            <w:vAlign w:val="center"/>
            <w:hideMark/>
          </w:tcPr>
          <w:p w14:paraId="1020531E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3046AEF0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4E9457A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Jiné příjmy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41B6224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3 721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990CCA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390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3071640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4 111</w:t>
            </w:r>
          </w:p>
        </w:tc>
        <w:tc>
          <w:tcPr>
            <w:tcW w:w="150" w:type="dxa"/>
            <w:vAlign w:val="center"/>
            <w:hideMark/>
          </w:tcPr>
          <w:p w14:paraId="21ED8652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072DC975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FB0A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poplatky spojené se studiem: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7DE9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1 719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0DD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216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B64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1 935</w:t>
            </w:r>
          </w:p>
        </w:tc>
        <w:tc>
          <w:tcPr>
            <w:tcW w:w="150" w:type="dxa"/>
            <w:vAlign w:val="center"/>
            <w:hideMark/>
          </w:tcPr>
          <w:p w14:paraId="7C59415F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0AEB9BD9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4F5F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 xml:space="preserve">      přijímací řízení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9606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4BF5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D67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963</w:t>
            </w:r>
          </w:p>
        </w:tc>
        <w:tc>
          <w:tcPr>
            <w:tcW w:w="150" w:type="dxa"/>
            <w:vAlign w:val="center"/>
            <w:hideMark/>
          </w:tcPr>
          <w:p w14:paraId="521857C2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300FB97A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9CAA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 xml:space="preserve">      celoživotní vzdělávání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EE83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879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FBD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E1EF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972</w:t>
            </w:r>
          </w:p>
        </w:tc>
        <w:tc>
          <w:tcPr>
            <w:tcW w:w="150" w:type="dxa"/>
            <w:vAlign w:val="center"/>
            <w:hideMark/>
          </w:tcPr>
          <w:p w14:paraId="7849535B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2F07CE7D" w14:textId="77777777" w:rsidTr="00890A34">
        <w:trPr>
          <w:trHeight w:val="300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5B0E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další příjmy z hlavní činnosti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10AD7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450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C36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4206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620</w:t>
            </w:r>
          </w:p>
        </w:tc>
        <w:tc>
          <w:tcPr>
            <w:tcW w:w="150" w:type="dxa"/>
            <w:vAlign w:val="center"/>
            <w:hideMark/>
          </w:tcPr>
          <w:p w14:paraId="1E36953C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1EDBB163" w14:textId="77777777" w:rsidTr="00890A34">
        <w:trPr>
          <w:trHeight w:val="312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6FA2" w14:textId="77777777" w:rsidR="00890A34" w:rsidRPr="00890A34" w:rsidRDefault="00890A34" w:rsidP="00890A34">
            <w:pPr>
              <w:spacing w:line="240" w:lineRule="auto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dary, dědictví a dotace od nadací, z fondů a pod.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705C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1 552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34C5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17A5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90A34">
              <w:rPr>
                <w:rFonts w:cs="Calibri"/>
                <w:szCs w:val="22"/>
              </w:rPr>
              <w:t>1 556</w:t>
            </w:r>
          </w:p>
        </w:tc>
        <w:tc>
          <w:tcPr>
            <w:tcW w:w="150" w:type="dxa"/>
            <w:vAlign w:val="center"/>
            <w:hideMark/>
          </w:tcPr>
          <w:p w14:paraId="469009FB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4" w:rsidRPr="00890A34" w14:paraId="6CF4FF19" w14:textId="77777777" w:rsidTr="00890A34">
        <w:trPr>
          <w:trHeight w:val="325"/>
        </w:trPr>
        <w:tc>
          <w:tcPr>
            <w:tcW w:w="553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D30D637" w14:textId="77777777" w:rsidR="00890A34" w:rsidRPr="00890A34" w:rsidRDefault="00890A34" w:rsidP="00890A34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11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596DF1D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108 742</w:t>
            </w:r>
          </w:p>
        </w:tc>
        <w:tc>
          <w:tcPr>
            <w:tcW w:w="11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7FA1B01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1 312</w:t>
            </w:r>
          </w:p>
        </w:tc>
        <w:tc>
          <w:tcPr>
            <w:tcW w:w="119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0EAA312" w14:textId="77777777" w:rsidR="00890A34" w:rsidRPr="00890A34" w:rsidRDefault="00890A34" w:rsidP="00890A34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90A34">
              <w:rPr>
                <w:rFonts w:cs="Calibri"/>
                <w:b/>
                <w:bCs/>
                <w:szCs w:val="22"/>
              </w:rPr>
              <w:t>110 054</w:t>
            </w:r>
          </w:p>
        </w:tc>
        <w:tc>
          <w:tcPr>
            <w:tcW w:w="150" w:type="dxa"/>
            <w:vAlign w:val="center"/>
            <w:hideMark/>
          </w:tcPr>
          <w:p w14:paraId="647EBBBC" w14:textId="77777777" w:rsidR="00890A34" w:rsidRPr="00890A34" w:rsidRDefault="00890A34" w:rsidP="00890A3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4F86AD" w14:textId="77777777" w:rsidR="009D30AD" w:rsidRDefault="009D30AD" w:rsidP="00C0760F">
      <w:pPr>
        <w:jc w:val="both"/>
      </w:pPr>
    </w:p>
    <w:p w14:paraId="68750833" w14:textId="377FD00D" w:rsidR="00C0760F" w:rsidRDefault="00C0760F" w:rsidP="00C0760F">
      <w:pPr>
        <w:jc w:val="both"/>
      </w:pPr>
    </w:p>
    <w:p w14:paraId="7448A11E" w14:textId="21D97797" w:rsidR="00355833" w:rsidRDefault="00A2220A" w:rsidP="00C0760F">
      <w:pPr>
        <w:jc w:val="both"/>
      </w:pPr>
      <w:r>
        <w:lastRenderedPageBreak/>
        <w:t>V</w:t>
      </w:r>
      <w:r w:rsidR="00F13EDA">
        <w:t xml:space="preserve"> roce 2025 došlo k výraznému navýšení prostředků v položce příspěvku a dotací MŠMT, a to hlavně z důvodu zapojení fakulty do programu na podporu navýšení počtu nelékařských zdravotnických pracovníků, kde získala fakulta </w:t>
      </w:r>
      <w:r w:rsidR="005B624F">
        <w:t>pro rok 2025 dotaci ve výši 17 748 tis. Kč.</w:t>
      </w:r>
      <w:r>
        <w:t xml:space="preserve"> </w:t>
      </w:r>
      <w:r w:rsidR="0055012C">
        <w:t xml:space="preserve"> Dle podmínek programu byly prostředky využity na </w:t>
      </w:r>
      <w:r w:rsidR="000F021E">
        <w:t>n</w:t>
      </w:r>
      <w:r w:rsidR="00F04F45">
        <w:t xml:space="preserve">avýšení počtu akademických pracovníků, </w:t>
      </w:r>
      <w:r w:rsidR="0055012C">
        <w:t xml:space="preserve">zatraktivnění pracovních pozic fakulty formou přiznání projektových příplatků, na zkvalitnění výuky formou nákupu </w:t>
      </w:r>
      <w:r w:rsidR="00EC3F4A">
        <w:t>moderních modelů, přístrojů a zařízení, na pr</w:t>
      </w:r>
      <w:r w:rsidR="007060CB">
        <w:t>op</w:t>
      </w:r>
      <w:r w:rsidR="00EC3F4A">
        <w:t xml:space="preserve">agaci </w:t>
      </w:r>
      <w:r w:rsidR="00D6750E">
        <w:t>studijních programů, na které cílí, konkrétně Všeobecné ošetřovatelství, Zdravotnické záchranářství, Porodní asistence a Radiologická asistence</w:t>
      </w:r>
      <w:r w:rsidR="007060CB">
        <w:t xml:space="preserve"> a na zvýšené požadavky na zdravotnický materiál. Část prostředků byla dále použita na zajištění běženého provozu fakulty</w:t>
      </w:r>
      <w:r w:rsidR="00D6750E">
        <w:t xml:space="preserve">. </w:t>
      </w:r>
    </w:p>
    <w:p w14:paraId="14C47C36" w14:textId="278EBC7C" w:rsidR="00355833" w:rsidRDefault="003B480C" w:rsidP="00C0760F">
      <w:pPr>
        <w:jc w:val="both"/>
      </w:pPr>
      <w:r>
        <w:t>Fakulta v roce 2025 získala dva projekty TAČR Sigma, ze kterých bylo čerpáno 226 tis. Kč.</w:t>
      </w:r>
    </w:p>
    <w:p w14:paraId="3AB5D70C" w14:textId="633B4811" w:rsidR="00A2220A" w:rsidRDefault="00EA2FDF" w:rsidP="00C0760F">
      <w:pPr>
        <w:jc w:val="both"/>
      </w:pPr>
      <w:r>
        <w:t xml:space="preserve">Další navýšení příjmů rozpočtu proběhlo v </w:t>
      </w:r>
      <w:r w:rsidR="00A2220A">
        <w:t>polož</w:t>
      </w:r>
      <w:r>
        <w:t>ce</w:t>
      </w:r>
      <w:r w:rsidR="00046FD6">
        <w:t xml:space="preserve"> </w:t>
      </w:r>
      <w:r w:rsidR="00D26BB1">
        <w:t>jiných příjmů</w:t>
      </w:r>
      <w:r w:rsidR="00A2220A">
        <w:t xml:space="preserve">, </w:t>
      </w:r>
      <w:r w:rsidR="00CD7D1C">
        <w:t>nejvíce pak v polož</w:t>
      </w:r>
      <w:r w:rsidR="00444622">
        <w:t>kách</w:t>
      </w:r>
      <w:r w:rsidR="00CD7D1C">
        <w:t xml:space="preserve"> dalších příjmů z hlavní činnosti</w:t>
      </w:r>
      <w:r w:rsidR="00444622">
        <w:t xml:space="preserve"> a výnosů z darů a dotací</w:t>
      </w:r>
      <w:r w:rsidR="00CD7D1C">
        <w:t>, kde js</w:t>
      </w:r>
      <w:r w:rsidR="00127077">
        <w:t xml:space="preserve">ou zahrnuty příjmy </w:t>
      </w:r>
      <w:r w:rsidR="00444622">
        <w:t>na</w:t>
      </w:r>
      <w:r w:rsidR="00275667">
        <w:t xml:space="preserve"> finanční spoluúčast </w:t>
      </w:r>
      <w:r w:rsidR="002F556E">
        <w:t>Pardubické nemocnice</w:t>
      </w:r>
      <w:r w:rsidR="00275667">
        <w:t xml:space="preserve"> a Pardubického kraje na mentoring – stínování a </w:t>
      </w:r>
      <w:r w:rsidR="00C94FB7">
        <w:t>příjmy od Nadace rodiny Vlčkových na realizaci projektu I</w:t>
      </w:r>
      <w:r w:rsidR="00195D10">
        <w:t>mplementace dětské paliativní péče</w:t>
      </w:r>
      <w:r w:rsidR="00275667">
        <w:t>.</w:t>
      </w:r>
    </w:p>
    <w:p w14:paraId="771FEFE9" w14:textId="4B9DF11F" w:rsidR="000649C7" w:rsidRDefault="000649C7" w:rsidP="00C0760F">
      <w:pPr>
        <w:jc w:val="both"/>
      </w:pPr>
      <w:r>
        <w:t>K nárůstu došlo oproti předpokládaným příjmům v polož</w:t>
      </w:r>
      <w:r w:rsidR="00B40049">
        <w:t>ce</w:t>
      </w:r>
      <w:r>
        <w:t xml:space="preserve"> příjmů z kurzů celoživotního vzdělávání</w:t>
      </w:r>
      <w:r w:rsidR="00D1463A">
        <w:t>, kde došlo k realizaci nového kurzu</w:t>
      </w:r>
      <w:r w:rsidR="00B40049">
        <w:t xml:space="preserve"> Psycholog ve zdravotnictví, v položce</w:t>
      </w:r>
      <w:r>
        <w:t xml:space="preserve"> doplňkové činnosti</w:t>
      </w:r>
      <w:r w:rsidR="004A621A">
        <w:t xml:space="preserve"> a v položce poplatků za přijímací řízení.</w:t>
      </w:r>
      <w:r w:rsidR="0098297E">
        <w:t xml:space="preserve"> </w:t>
      </w:r>
    </w:p>
    <w:p w14:paraId="25ED295F" w14:textId="707E28F5" w:rsidR="00A2220A" w:rsidRDefault="00A2220A" w:rsidP="00C0760F">
      <w:pPr>
        <w:jc w:val="both"/>
      </w:pPr>
      <w:r w:rsidRPr="00A2220A">
        <w:t xml:space="preserve">Procentuální </w:t>
      </w:r>
      <w:r w:rsidR="001C4ED3">
        <w:t>podíly</w:t>
      </w:r>
      <w:r w:rsidRPr="00A2220A">
        <w:t xml:space="preserve"> jednotlivých položek neinvestičních výnosů j</w:t>
      </w:r>
      <w:r w:rsidR="001C4ED3">
        <w:t>sou</w:t>
      </w:r>
      <w:r w:rsidRPr="00A2220A">
        <w:t xml:space="preserve"> znázorněn</w:t>
      </w:r>
      <w:r w:rsidR="001C4ED3">
        <w:t>y</w:t>
      </w:r>
      <w:r w:rsidRPr="00A2220A">
        <w:t xml:space="preserve"> na následujícím grafu na obrázku 1.</w:t>
      </w:r>
    </w:p>
    <w:p w14:paraId="214781A3" w14:textId="4F45154B" w:rsidR="00A2220A" w:rsidRDefault="00A2220A" w:rsidP="00C0760F">
      <w:pPr>
        <w:jc w:val="both"/>
      </w:pPr>
    </w:p>
    <w:p w14:paraId="6A8ECE4B" w14:textId="2DBF5737" w:rsidR="00A2220A" w:rsidRDefault="00C2298D" w:rsidP="00A2220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49E675C" wp14:editId="05A16E17">
            <wp:extent cx="5760720" cy="3464560"/>
            <wp:effectExtent l="0" t="0" r="11430" b="2540"/>
            <wp:docPr id="60721717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2220A" w:rsidRPr="00A2220A">
        <w:rPr>
          <w:b/>
          <w:bCs/>
        </w:rPr>
        <w:t>Obrázek 1 Procentuální složení neinvestičních výnosů</w:t>
      </w:r>
      <w:r w:rsidR="000649C7">
        <w:rPr>
          <w:b/>
          <w:bCs/>
        </w:rPr>
        <w:t xml:space="preserve"> 202</w:t>
      </w:r>
      <w:r>
        <w:rPr>
          <w:b/>
          <w:bCs/>
        </w:rPr>
        <w:t>5</w:t>
      </w:r>
    </w:p>
    <w:p w14:paraId="5B9A18B2" w14:textId="41B23A4F" w:rsidR="00A2220A" w:rsidRDefault="00A2220A" w:rsidP="00A2220A">
      <w:pPr>
        <w:jc w:val="center"/>
        <w:rPr>
          <w:b/>
          <w:bCs/>
        </w:rPr>
      </w:pPr>
    </w:p>
    <w:p w14:paraId="371EB0D7" w14:textId="40F58D92" w:rsidR="00A2220A" w:rsidRDefault="00BB3AB6" w:rsidP="00A2220A">
      <w:pPr>
        <w:jc w:val="both"/>
      </w:pPr>
      <w:r>
        <w:t>Nejdůležitějším zdrojem příjmů j</w:t>
      </w:r>
      <w:r w:rsidR="00B661F7">
        <w:t>sou</w:t>
      </w:r>
      <w:r>
        <w:t xml:space="preserve"> pro fakultu dlouhodobě </w:t>
      </w:r>
      <w:r w:rsidR="00B661F7">
        <w:t>zdroje</w:t>
      </w:r>
      <w:r>
        <w:t xml:space="preserve"> MŠMT</w:t>
      </w:r>
      <w:r w:rsidR="003A52D6">
        <w:t>, kter</w:t>
      </w:r>
      <w:r w:rsidR="00B661F7">
        <w:t>é</w:t>
      </w:r>
      <w:r w:rsidR="003A52D6">
        <w:t xml:space="preserve"> </w:t>
      </w:r>
      <w:r w:rsidR="002607E8">
        <w:t>představuj</w:t>
      </w:r>
      <w:r w:rsidR="00B661F7">
        <w:t>í</w:t>
      </w:r>
      <w:r w:rsidR="003A52D6">
        <w:t xml:space="preserve"> </w:t>
      </w:r>
      <w:r w:rsidR="00EA4C22">
        <w:t>90,22</w:t>
      </w:r>
      <w:r w:rsidR="003A52D6">
        <w:t xml:space="preserve"> % celkového rozpočtu</w:t>
      </w:r>
      <w:r w:rsidR="00B86C92">
        <w:t>, z toho příspěv</w:t>
      </w:r>
      <w:r w:rsidR="002B3994">
        <w:t>e</w:t>
      </w:r>
      <w:r w:rsidR="00B86C92">
        <w:t xml:space="preserve">k MŠMT tvoří 74,09 % a </w:t>
      </w:r>
      <w:r w:rsidR="00FB50C2">
        <w:t xml:space="preserve">program dle ukazatele F </w:t>
      </w:r>
      <w:r w:rsidR="003238E5">
        <w:t xml:space="preserve">tvoří </w:t>
      </w:r>
      <w:r w:rsidR="00FB50C2">
        <w:t>16,13 %</w:t>
      </w:r>
      <w:r w:rsidR="003A52D6">
        <w:t xml:space="preserve">. </w:t>
      </w:r>
      <w:r w:rsidR="00772E8D">
        <w:t>V pořadí druhým zdrojem</w:t>
      </w:r>
      <w:r w:rsidR="003A52D6">
        <w:t xml:space="preserve"> jsou příjmy z</w:t>
      </w:r>
      <w:r w:rsidR="00772E8D">
        <w:t> vědeckovýzkumné čin</w:t>
      </w:r>
      <w:r w:rsidR="00522383">
        <w:t>n</w:t>
      </w:r>
      <w:r w:rsidR="00772E8D">
        <w:t>osti</w:t>
      </w:r>
      <w:r w:rsidR="000649C7">
        <w:t>.</w:t>
      </w:r>
      <w:r w:rsidR="003A52D6">
        <w:t xml:space="preserve"> V</w:t>
      </w:r>
      <w:r w:rsidR="00E377FD">
        <w:t> roce 202</w:t>
      </w:r>
      <w:r w:rsidR="00FB50C2">
        <w:t>5</w:t>
      </w:r>
      <w:r w:rsidR="00E377FD">
        <w:t xml:space="preserve"> se jednalo p</w:t>
      </w:r>
      <w:r w:rsidR="00274760">
        <w:t>r</w:t>
      </w:r>
      <w:r w:rsidR="00E377FD">
        <w:t>imárně o</w:t>
      </w:r>
      <w:r w:rsidR="00CE7604">
        <w:t> </w:t>
      </w:r>
      <w:r w:rsidR="003A52D6">
        <w:t xml:space="preserve">příjmy na dlouhodobý koncepční rozvoj výzkumné organizace, které již několik let </w:t>
      </w:r>
      <w:r w:rsidR="0011784C">
        <w:t>představují</w:t>
      </w:r>
      <w:r w:rsidR="003A52D6">
        <w:t xml:space="preserve"> méně než 4 % celkového rozpočtu.</w:t>
      </w:r>
      <w:r w:rsidR="006E13BE">
        <w:t xml:space="preserve"> Fakulta </w:t>
      </w:r>
      <w:r w:rsidR="00BB35FA">
        <w:t>realizovala dva</w:t>
      </w:r>
      <w:r w:rsidR="006E13BE">
        <w:t xml:space="preserve"> vědeckovýzkumn</w:t>
      </w:r>
      <w:r w:rsidR="00BB35FA">
        <w:t>é</w:t>
      </w:r>
      <w:r w:rsidR="006E13BE">
        <w:t xml:space="preserve"> projekt</w:t>
      </w:r>
      <w:r w:rsidR="00BB35FA">
        <w:t>y z</w:t>
      </w:r>
      <w:r w:rsidR="0011784C">
        <w:t> </w:t>
      </w:r>
      <w:r w:rsidR="00BB35FA">
        <w:t>výzvy</w:t>
      </w:r>
      <w:r w:rsidR="0011784C">
        <w:t xml:space="preserve"> TAČR Sigma a</w:t>
      </w:r>
      <w:r w:rsidR="00CE7604">
        <w:t> </w:t>
      </w:r>
      <w:r w:rsidR="00CC1ADF">
        <w:t>dva projekty z operačního programu Jan Amos Komenský</w:t>
      </w:r>
      <w:r w:rsidR="00D31406">
        <w:t xml:space="preserve"> (dále jen OP JAK)</w:t>
      </w:r>
      <w:r w:rsidR="002B3994">
        <w:t xml:space="preserve"> </w:t>
      </w:r>
      <w:r w:rsidR="00347E81">
        <w:t xml:space="preserve">v celkové výši1 718 tis. </w:t>
      </w:r>
      <w:r w:rsidR="00347E81">
        <w:lastRenderedPageBreak/>
        <w:t>Kč, což je</w:t>
      </w:r>
      <w:r w:rsidR="00117A18">
        <w:t xml:space="preserve"> 1,56 % příjmů fakulty</w:t>
      </w:r>
      <w:r w:rsidR="006E13BE">
        <w:t>.</w:t>
      </w:r>
      <w:r w:rsidR="003A52D6">
        <w:t xml:space="preserve"> Jiné příjmy fakulty ve výši </w:t>
      </w:r>
      <w:r w:rsidR="006E13BE">
        <w:t>3,</w:t>
      </w:r>
      <w:r w:rsidR="00117A18">
        <w:t>74</w:t>
      </w:r>
      <w:r w:rsidR="003A52D6">
        <w:t xml:space="preserve"> % celkových příjmů jsou tvořeny z poplatků za přijímací řízení,</w:t>
      </w:r>
      <w:r w:rsidR="006B3F6E">
        <w:t xml:space="preserve"> příjmů z</w:t>
      </w:r>
      <w:r w:rsidR="003A52D6">
        <w:t xml:space="preserve"> kurzů celoživotního vzdělávání, </w:t>
      </w:r>
      <w:r w:rsidR="006E13BE">
        <w:t>příjmů z</w:t>
      </w:r>
      <w:r w:rsidR="00022738">
        <w:t> </w:t>
      </w:r>
      <w:r w:rsidR="006E13BE">
        <w:t>finanční</w:t>
      </w:r>
      <w:r w:rsidR="00022738">
        <w:t xml:space="preserve"> spoluúčasti Pardubické nemoc</w:t>
      </w:r>
      <w:r w:rsidR="00187273">
        <w:t>n</w:t>
      </w:r>
      <w:r w:rsidR="00022738">
        <w:t>ice a</w:t>
      </w:r>
      <w:r w:rsidR="000B374E">
        <w:t> </w:t>
      </w:r>
      <w:r w:rsidR="00022738">
        <w:t xml:space="preserve">Pardubického kraje na zajištění mentoringu-stínování, </w:t>
      </w:r>
      <w:r w:rsidR="000649C7">
        <w:t>z</w:t>
      </w:r>
      <w:r w:rsidR="002C66DA">
        <w:t> </w:t>
      </w:r>
      <w:r w:rsidR="000649C7">
        <w:t>darů</w:t>
      </w:r>
      <w:r w:rsidR="002C66DA">
        <w:t xml:space="preserve"> </w:t>
      </w:r>
      <w:r w:rsidR="000649C7">
        <w:t>a z dotace nadace rodiny Vlčkových</w:t>
      </w:r>
      <w:r w:rsidR="00847E38">
        <w:t xml:space="preserve"> na realizaci projektu Implementace dětské paliativní péče</w:t>
      </w:r>
      <w:r w:rsidR="003A52D6">
        <w:t>.</w:t>
      </w:r>
    </w:p>
    <w:p w14:paraId="60153D56" w14:textId="182AD47F" w:rsidR="003A52D6" w:rsidRDefault="003A52D6" w:rsidP="00A2220A">
      <w:pPr>
        <w:jc w:val="both"/>
      </w:pPr>
      <w:r>
        <w:t>Vývoj výše rozpočtu dle jednotlivých zdrojů financování v letech 2010–20</w:t>
      </w:r>
      <w:r w:rsidR="000649C7">
        <w:t>2</w:t>
      </w:r>
      <w:r w:rsidR="00173275">
        <w:t>5</w:t>
      </w:r>
      <w:r>
        <w:t xml:space="preserve"> znázorňuje graf na obrázku</w:t>
      </w:r>
      <w:r w:rsidR="00D31406">
        <w:t> </w:t>
      </w:r>
      <w:r>
        <w:t>2.</w:t>
      </w:r>
    </w:p>
    <w:p w14:paraId="2DEF41ED" w14:textId="77777777" w:rsidR="00471A11" w:rsidRDefault="00471A11" w:rsidP="00A2220A">
      <w:pPr>
        <w:jc w:val="both"/>
      </w:pPr>
    </w:p>
    <w:p w14:paraId="79FAFC4B" w14:textId="0C5E6189" w:rsidR="003A52D6" w:rsidRDefault="002A418E" w:rsidP="00A2220A">
      <w:pPr>
        <w:jc w:val="both"/>
      </w:pPr>
      <w:r>
        <w:rPr>
          <w:noProof/>
        </w:rPr>
        <w:drawing>
          <wp:inline distT="0" distB="0" distL="0" distR="0" wp14:anchorId="1BD07015" wp14:editId="3254FC53">
            <wp:extent cx="5760720" cy="3068320"/>
            <wp:effectExtent l="0" t="0" r="11430" b="17780"/>
            <wp:docPr id="179029336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CC55C2" w14:textId="013FBE34" w:rsidR="003A52D6" w:rsidRDefault="00825205" w:rsidP="00825205">
      <w:pPr>
        <w:jc w:val="center"/>
        <w:rPr>
          <w:b/>
          <w:bCs/>
        </w:rPr>
      </w:pPr>
      <w:r w:rsidRPr="00825205">
        <w:rPr>
          <w:b/>
          <w:bCs/>
        </w:rPr>
        <w:t>Obrázek 2: Struktura neinvestičních výnosů v letech 2010</w:t>
      </w:r>
      <w:r w:rsidR="0067569B">
        <w:rPr>
          <w:b/>
          <w:bCs/>
        </w:rPr>
        <w:t>–</w:t>
      </w:r>
      <w:r w:rsidRPr="00825205">
        <w:rPr>
          <w:b/>
          <w:bCs/>
        </w:rPr>
        <w:t>202</w:t>
      </w:r>
      <w:r w:rsidR="00173275">
        <w:rPr>
          <w:b/>
          <w:bCs/>
        </w:rPr>
        <w:t>5</w:t>
      </w:r>
    </w:p>
    <w:p w14:paraId="51354C13" w14:textId="6DB973FB" w:rsidR="0067569B" w:rsidRDefault="0067569B" w:rsidP="00825205">
      <w:pPr>
        <w:jc w:val="center"/>
        <w:rPr>
          <w:b/>
          <w:bCs/>
        </w:rPr>
      </w:pPr>
    </w:p>
    <w:p w14:paraId="7EA3431D" w14:textId="30DE29A7" w:rsidR="0067569B" w:rsidRDefault="0067569B" w:rsidP="0067569B">
      <w:pPr>
        <w:jc w:val="both"/>
      </w:pPr>
      <w:r>
        <w:t>Z grafu je patrné, že od roku 2018 rostla dotace na vzdělávací činnost. Stagnace způsobená v letech 2015–2017 vznikla z důvodu zafixování poměru fakulty na rozpočtu UPCE, který v těchto letech též stagnoval. V letech 2012–2015 došlo k vytvoření poměrně vysokého zdroje v podobě fondu provozních prostředků, a to z důvodu realizace projektů z operačního programu vzdělávání pro konkurenceschopnost</w:t>
      </w:r>
      <w:r w:rsidR="00F67C81">
        <w:t>, které umožnily výraznou úsporu osobních nákladů</w:t>
      </w:r>
      <w:r>
        <w:t>. V průběhu let 2015</w:t>
      </w:r>
      <w:r w:rsidR="00022B11">
        <w:t>-</w:t>
      </w:r>
      <w:r>
        <w:t>2017 došlo k vyčerpání těchto fond</w:t>
      </w:r>
      <w:r w:rsidR="007115E6">
        <w:t>ů</w:t>
      </w:r>
      <w:r>
        <w:t xml:space="preserve"> provozních prostředků, které byly použity </w:t>
      </w:r>
      <w:r w:rsidR="007115E6">
        <w:t xml:space="preserve">primárně </w:t>
      </w:r>
      <w:r>
        <w:t xml:space="preserve">na úhradu osobních nákladů. </w:t>
      </w:r>
    </w:p>
    <w:p w14:paraId="47431ED1" w14:textId="4EEE8C70" w:rsidR="0067569B" w:rsidRDefault="0067569B" w:rsidP="0067569B">
      <w:pPr>
        <w:jc w:val="both"/>
      </w:pPr>
      <w:r>
        <w:t>Naopak v roce 2018 došlo k nárůstu dotace MŠMT</w:t>
      </w:r>
      <w:r w:rsidR="007115E6">
        <w:t>,</w:t>
      </w:r>
      <w:r>
        <w:t xml:space="preserve"> a vzhledem ke změně principu výpočtu a rozdělení této dotace mezi fakulty, i k nárůstu dotace fakulty. Tento trend nadále pokračoval v roce 2019 a</w:t>
      </w:r>
      <w:r w:rsidR="007115E6">
        <w:t> </w:t>
      </w:r>
      <w:r>
        <w:t>2020. Řada ukazatelů rozpočtu pro rok 202</w:t>
      </w:r>
      <w:r w:rsidR="001E6AAC">
        <w:t>5</w:t>
      </w:r>
      <w:r>
        <w:t xml:space="preserve"> byla stanovena</w:t>
      </w:r>
      <w:r w:rsidR="005C0499">
        <w:t>,</w:t>
      </w:r>
      <w:r>
        <w:t xml:space="preserve"> </w:t>
      </w:r>
      <w:r w:rsidR="005C0499">
        <w:t xml:space="preserve">stejně jako v minulých letech, </w:t>
      </w:r>
      <w:r>
        <w:t>procentním podílem fakulty na těchto položkách v roce 2020</w:t>
      </w:r>
      <w:r w:rsidR="002B382D">
        <w:t xml:space="preserve"> s tím, že ve výpočtu ukazatele A bylo </w:t>
      </w:r>
      <w:r w:rsidR="003729C3">
        <w:t xml:space="preserve">v poměru </w:t>
      </w:r>
      <w:r w:rsidR="00C24123">
        <w:t>8</w:t>
      </w:r>
      <w:r w:rsidR="003729C3">
        <w:t>0:</w:t>
      </w:r>
      <w:r w:rsidR="00C24123">
        <w:t>2</w:t>
      </w:r>
      <w:r w:rsidR="003729C3">
        <w:t>0 přihlédnuto k aktuálnímu počtu studentů jednotlivých fakult</w:t>
      </w:r>
      <w:r w:rsidR="00F76C5F">
        <w:t xml:space="preserve">. Výrazný nárůst dotace pro rok 2025 </w:t>
      </w:r>
      <w:r w:rsidR="00F62C68">
        <w:t xml:space="preserve">je způsoben programovou dotací MŠMT na podporu navýšení počtu </w:t>
      </w:r>
      <w:r w:rsidR="00BF56AF">
        <w:t>nelékařských zdravotnických pracovníků.</w:t>
      </w:r>
    </w:p>
    <w:p w14:paraId="35506F40" w14:textId="0AEFD0EB" w:rsidR="0067569B" w:rsidRDefault="0067569B" w:rsidP="0067569B">
      <w:pPr>
        <w:jc w:val="both"/>
      </w:pPr>
      <w:r>
        <w:t>Financování je odvozeno od rozsahu a ekonomické náročnosti výkonů vysoké školy (část fixní) a</w:t>
      </w:r>
      <w:r w:rsidR="007115E6">
        <w:t> </w:t>
      </w:r>
      <w:r>
        <w:t>výstupů činnosti vysoké školy a jejich kvality (část výkonová). Poměr fixní a výkonové části byl pro rok</w:t>
      </w:r>
      <w:r w:rsidR="00522383">
        <w:t> </w:t>
      </w:r>
      <w:r>
        <w:t>202</w:t>
      </w:r>
      <w:r w:rsidR="00200DB9">
        <w:t>5</w:t>
      </w:r>
      <w:r>
        <w:t xml:space="preserve"> stanoven na </w:t>
      </w:r>
      <w:r w:rsidR="00200DB9">
        <w:t>76,02</w:t>
      </w:r>
      <w:r>
        <w:t xml:space="preserve"> % k</w:t>
      </w:r>
      <w:r w:rsidR="00200DB9">
        <w:t> 23,98</w:t>
      </w:r>
      <w:r>
        <w:t xml:space="preserve"> %. </w:t>
      </w:r>
      <w:r w:rsidR="00200DB9">
        <w:t xml:space="preserve">Meziročně dochází k nárůstu významu výkonové části. </w:t>
      </w:r>
      <w:r w:rsidRPr="00523216">
        <w:t>Příjmy za fixn</w:t>
      </w:r>
      <w:r>
        <w:t>í část příspěvku UP</w:t>
      </w:r>
      <w:r w:rsidR="00EF6D9C">
        <w:t>CE</w:t>
      </w:r>
      <w:r>
        <w:t xml:space="preserve"> v roce 202</w:t>
      </w:r>
      <w:r w:rsidR="002C20A7">
        <w:t>5</w:t>
      </w:r>
      <w:r w:rsidRPr="00523216">
        <w:t xml:space="preserve"> vycházejí </w:t>
      </w:r>
      <w:r w:rsidR="00FC5F8F">
        <w:t>z </w:t>
      </w:r>
      <w:r w:rsidR="002C20A7">
        <w:t>8</w:t>
      </w:r>
      <w:r w:rsidR="00FC5F8F">
        <w:t xml:space="preserve">0 % </w:t>
      </w:r>
      <w:r w:rsidR="002C20A7">
        <w:t>ze zafixovaného podílu v roce 2024 a z 20 %</w:t>
      </w:r>
      <w:r>
        <w:t xml:space="preserve"> </w:t>
      </w:r>
      <w:r w:rsidR="00BF14F9">
        <w:t>ze skutečného</w:t>
      </w:r>
      <w:r w:rsidR="00760057">
        <w:t xml:space="preserve"> počtu</w:t>
      </w:r>
      <w:r w:rsidR="00667FEE">
        <w:t xml:space="preserve"> studentů</w:t>
      </w:r>
      <w:r w:rsidR="00760057">
        <w:t xml:space="preserve"> </w:t>
      </w:r>
      <w:r w:rsidR="00B95679">
        <w:t>dle matriky studentů MŠMT.</w:t>
      </w:r>
    </w:p>
    <w:p w14:paraId="69C8C07E" w14:textId="6E2233C6" w:rsidR="0067569B" w:rsidRDefault="0067569B" w:rsidP="0067569B">
      <w:pPr>
        <w:jc w:val="both"/>
      </w:pPr>
      <w:r w:rsidRPr="00523216">
        <w:t xml:space="preserve">Příjmy za výkonovou část odrážejí podíl </w:t>
      </w:r>
      <w:r w:rsidR="00B61893">
        <w:t>Univerzity Pardubice</w:t>
      </w:r>
      <w:r w:rsidRPr="00523216">
        <w:t xml:space="preserve"> </w:t>
      </w:r>
      <w:r w:rsidR="000B374E">
        <w:t xml:space="preserve">a následně fakult </w:t>
      </w:r>
      <w:r w:rsidRPr="00523216">
        <w:t xml:space="preserve">na jednotlivých indikátorech, </w:t>
      </w:r>
      <w:r>
        <w:t>které se aplikují na všechny veřejné vysoké školy, jedná se o dále uvedené.</w:t>
      </w:r>
    </w:p>
    <w:p w14:paraId="558D7E3C" w14:textId="77777777" w:rsidR="0067569B" w:rsidRDefault="0067569B" w:rsidP="0067569B">
      <w:pPr>
        <w:jc w:val="both"/>
      </w:pPr>
      <w:r>
        <w:lastRenderedPageBreak/>
        <w:t>o</w:t>
      </w:r>
      <w:r>
        <w:tab/>
        <w:t>Výsledky výzkumu, vývoje a inovací (body RIV) – váha 30 %</w:t>
      </w:r>
    </w:p>
    <w:p w14:paraId="3030A32F" w14:textId="77777777" w:rsidR="0067569B" w:rsidRDefault="0067569B" w:rsidP="0067569B">
      <w:pPr>
        <w:jc w:val="both"/>
      </w:pPr>
      <w:r>
        <w:t>o</w:t>
      </w:r>
      <w:r>
        <w:tab/>
        <w:t>Výsledky umělecké činnosti (body RUV) – váha 3 %</w:t>
      </w:r>
    </w:p>
    <w:p w14:paraId="54F0FE51" w14:textId="77777777" w:rsidR="0067569B" w:rsidRDefault="0067569B" w:rsidP="0067569B">
      <w:pPr>
        <w:jc w:val="both"/>
      </w:pPr>
      <w:r>
        <w:t>o</w:t>
      </w:r>
      <w:r>
        <w:tab/>
        <w:t>Externí příjmy VŠ spojené se vzdělávací a tvůrčí činností – váha 6,5 %</w:t>
      </w:r>
    </w:p>
    <w:p w14:paraId="3C5944C4" w14:textId="77777777" w:rsidR="0067569B" w:rsidRDefault="0067569B" w:rsidP="0067569B">
      <w:pPr>
        <w:jc w:val="both"/>
      </w:pPr>
      <w:r>
        <w:t>o</w:t>
      </w:r>
      <w:r>
        <w:tab/>
        <w:t>Graduation rate – váha 15 %</w:t>
      </w:r>
    </w:p>
    <w:p w14:paraId="47AFD6CA" w14:textId="058C089C" w:rsidR="0067569B" w:rsidRDefault="0067569B" w:rsidP="0067569B">
      <w:pPr>
        <w:jc w:val="both"/>
      </w:pPr>
      <w:r>
        <w:t>o</w:t>
      </w:r>
      <w:r>
        <w:tab/>
        <w:t xml:space="preserve">Zaměstnanost absolventů – váha </w:t>
      </w:r>
      <w:r w:rsidR="008E39A5">
        <w:t>5</w:t>
      </w:r>
      <w:r>
        <w:t xml:space="preserve"> %</w:t>
      </w:r>
    </w:p>
    <w:p w14:paraId="3FCFD714" w14:textId="77777777" w:rsidR="0067569B" w:rsidRDefault="0067569B" w:rsidP="0067569B">
      <w:pPr>
        <w:jc w:val="both"/>
      </w:pPr>
      <w:r>
        <w:t>o</w:t>
      </w:r>
      <w:r>
        <w:tab/>
        <w:t>Podíl cizinců (akademičtí pracovníci) – váha 10 %</w:t>
      </w:r>
    </w:p>
    <w:p w14:paraId="237AEFFC" w14:textId="77777777" w:rsidR="0067569B" w:rsidRDefault="0067569B" w:rsidP="0067569B">
      <w:pPr>
        <w:jc w:val="both"/>
      </w:pPr>
      <w:r>
        <w:t>o</w:t>
      </w:r>
      <w:r>
        <w:tab/>
        <w:t>Mezinárodní mobility – váha 22 %</w:t>
      </w:r>
    </w:p>
    <w:p w14:paraId="3E556898" w14:textId="5E094C97" w:rsidR="0067569B" w:rsidRDefault="008E39A5" w:rsidP="0067569B">
      <w:pPr>
        <w:pStyle w:val="Odstavecseseznamem"/>
        <w:numPr>
          <w:ilvl w:val="0"/>
          <w:numId w:val="2"/>
        </w:numPr>
        <w:spacing w:after="0"/>
        <w:ind w:hanging="720"/>
        <w:rPr>
          <w:rFonts w:ascii="Calibri" w:eastAsia="Times New Roman" w:hAnsi="Calibri" w:cs="Times New Roman"/>
          <w:sz w:val="22"/>
          <w:szCs w:val="24"/>
          <w:lang w:eastAsia="cs-CZ"/>
        </w:rPr>
      </w:pPr>
      <w:r>
        <w:rPr>
          <w:rFonts w:ascii="Calibri" w:eastAsia="Times New Roman" w:hAnsi="Calibri" w:cs="Times New Roman"/>
          <w:sz w:val="22"/>
          <w:szCs w:val="24"/>
          <w:lang w:eastAsia="cs-CZ"/>
        </w:rPr>
        <w:t>Rozpočtoví absolventi – váha 5 %</w:t>
      </w:r>
    </w:p>
    <w:p w14:paraId="249D5929" w14:textId="47A6E6FE" w:rsidR="008E39A5" w:rsidRDefault="008E39A5" w:rsidP="0067569B">
      <w:pPr>
        <w:pStyle w:val="Odstavecseseznamem"/>
        <w:numPr>
          <w:ilvl w:val="0"/>
          <w:numId w:val="2"/>
        </w:numPr>
        <w:spacing w:after="0"/>
        <w:ind w:hanging="720"/>
        <w:rPr>
          <w:rFonts w:ascii="Calibri" w:eastAsia="Times New Roman" w:hAnsi="Calibri" w:cs="Times New Roman"/>
          <w:sz w:val="22"/>
          <w:szCs w:val="24"/>
          <w:lang w:eastAsia="cs-CZ"/>
        </w:rPr>
      </w:pPr>
      <w:r>
        <w:rPr>
          <w:rFonts w:ascii="Calibri" w:eastAsia="Times New Roman" w:hAnsi="Calibri" w:cs="Times New Roman"/>
          <w:sz w:val="22"/>
          <w:szCs w:val="24"/>
          <w:lang w:eastAsia="cs-CZ"/>
        </w:rPr>
        <w:t>Studia v cizím jazyce – váha 3,5 %</w:t>
      </w:r>
    </w:p>
    <w:p w14:paraId="1EF24AE7" w14:textId="77777777" w:rsidR="00995F87" w:rsidRDefault="00995F87" w:rsidP="00995F87"/>
    <w:p w14:paraId="26B5B93F" w14:textId="4A160E58" w:rsidR="00995F87" w:rsidRPr="00995F87" w:rsidRDefault="001F5972" w:rsidP="00E354FB">
      <w:pPr>
        <w:jc w:val="both"/>
      </w:pPr>
      <w:r>
        <w:t xml:space="preserve">Hodnoty ostatních položek rozpočtu se v průběhu posledních let výrazně nemění. </w:t>
      </w:r>
      <w:r w:rsidR="009B39BD">
        <w:t>Meziročně vždy dochází k</w:t>
      </w:r>
      <w:r w:rsidR="0040469B">
        <w:t> mírnému nárůstu v položkách celoživotního vzdělávání a doplňkové činnosti</w:t>
      </w:r>
      <w:r w:rsidR="00587B88">
        <w:t xml:space="preserve"> a</w:t>
      </w:r>
      <w:r w:rsidR="0040469B">
        <w:t xml:space="preserve"> v položce příjmů za přijímací řízení</w:t>
      </w:r>
      <w:r w:rsidR="002A0749">
        <w:t xml:space="preserve">. V roce 2025 pak došlo k nárůstu v položce grantových prostředků, kde fakulta získala dva vědeckovýzkumné projekty a </w:t>
      </w:r>
      <w:r w:rsidR="00E354FB">
        <w:t>realizovala dva rozvojové projekty z</w:t>
      </w:r>
      <w:r w:rsidR="00A06785">
        <w:t> OP JAK.</w:t>
      </w:r>
    </w:p>
    <w:p w14:paraId="07E54D58" w14:textId="762151AA" w:rsidR="0067569B" w:rsidRDefault="0067569B" w:rsidP="0067569B">
      <w:pPr>
        <w:pStyle w:val="Nadpis1"/>
        <w:numPr>
          <w:ilvl w:val="0"/>
          <w:numId w:val="0"/>
        </w:numPr>
        <w:ind w:left="432" w:hanging="432"/>
      </w:pPr>
      <w:bookmarkStart w:id="2" w:name="_Toc162011991"/>
      <w:r w:rsidRPr="00016243">
        <w:lastRenderedPageBreak/>
        <w:t>2. Náklady</w:t>
      </w:r>
      <w:bookmarkEnd w:id="2"/>
    </w:p>
    <w:p w14:paraId="7746D8A5" w14:textId="77777777" w:rsidR="00E17DC5" w:rsidRPr="00E17DC5" w:rsidRDefault="00E17DC5" w:rsidP="00E17DC5"/>
    <w:p w14:paraId="53BBFA83" w14:textId="71DD96C4" w:rsidR="00715E87" w:rsidRPr="00715E87" w:rsidRDefault="00715E87" w:rsidP="00715E87">
      <w:pPr>
        <w:pStyle w:val="Nadpis2"/>
        <w:jc w:val="both"/>
        <w:rPr>
          <w:b w:val="0"/>
          <w:bCs/>
          <w:sz w:val="22"/>
          <w:szCs w:val="22"/>
        </w:rPr>
      </w:pPr>
      <w:bookmarkStart w:id="3" w:name="_Toc130390393"/>
      <w:bookmarkStart w:id="4" w:name="_Toc162011992"/>
      <w:r>
        <w:rPr>
          <w:b w:val="0"/>
          <w:bCs/>
          <w:sz w:val="22"/>
          <w:szCs w:val="22"/>
        </w:rPr>
        <w:t>Neinvestiční náklady byly v roce 202</w:t>
      </w:r>
      <w:r w:rsidR="00C3486B">
        <w:rPr>
          <w:b w:val="0"/>
          <w:bCs/>
          <w:sz w:val="22"/>
          <w:szCs w:val="22"/>
        </w:rPr>
        <w:t>5</w:t>
      </w:r>
      <w:r>
        <w:rPr>
          <w:b w:val="0"/>
          <w:bCs/>
          <w:sz w:val="22"/>
          <w:szCs w:val="22"/>
        </w:rPr>
        <w:t xml:space="preserve"> ve </w:t>
      </w:r>
      <w:r w:rsidR="00D35328">
        <w:rPr>
          <w:b w:val="0"/>
          <w:bCs/>
          <w:sz w:val="22"/>
          <w:szCs w:val="22"/>
        </w:rPr>
        <w:t xml:space="preserve">výši </w:t>
      </w:r>
      <w:r w:rsidR="00C3486B">
        <w:rPr>
          <w:sz w:val="22"/>
          <w:szCs w:val="22"/>
        </w:rPr>
        <w:t>108 793</w:t>
      </w:r>
      <w:r w:rsidRPr="00715E87">
        <w:rPr>
          <w:sz w:val="22"/>
          <w:szCs w:val="22"/>
        </w:rPr>
        <w:t xml:space="preserve"> tis. Kč</w:t>
      </w:r>
      <w:r>
        <w:rPr>
          <w:b w:val="0"/>
          <w:bCs/>
          <w:sz w:val="22"/>
          <w:szCs w:val="22"/>
        </w:rPr>
        <w:t xml:space="preserve">. Z této částky bylo </w:t>
      </w:r>
      <w:r w:rsidR="00730449">
        <w:rPr>
          <w:b w:val="0"/>
          <w:bCs/>
          <w:sz w:val="22"/>
          <w:szCs w:val="22"/>
        </w:rPr>
        <w:t>54 198</w:t>
      </w:r>
      <w:r>
        <w:rPr>
          <w:b w:val="0"/>
          <w:bCs/>
          <w:sz w:val="22"/>
          <w:szCs w:val="22"/>
        </w:rPr>
        <w:t xml:space="preserve"> tis. Kč vynaloženo na zajištění hlavní činnosti fakulty, tedy vzdělávání studentů. Částku </w:t>
      </w:r>
      <w:r w:rsidR="001C0F78">
        <w:rPr>
          <w:b w:val="0"/>
          <w:bCs/>
          <w:sz w:val="22"/>
          <w:szCs w:val="22"/>
        </w:rPr>
        <w:t>23 308</w:t>
      </w:r>
      <w:r>
        <w:rPr>
          <w:b w:val="0"/>
          <w:bCs/>
          <w:sz w:val="22"/>
          <w:szCs w:val="22"/>
        </w:rPr>
        <w:t xml:space="preserve"> tis. Kč tvořily</w:t>
      </w:r>
      <w:r w:rsidR="001C0F78">
        <w:rPr>
          <w:b w:val="0"/>
          <w:bCs/>
          <w:sz w:val="22"/>
          <w:szCs w:val="22"/>
        </w:rPr>
        <w:t xml:space="preserve"> prostředky z programu MŠMT na podporu navýšení počtu studentů vybraných studijních programů,</w:t>
      </w:r>
      <w:r>
        <w:rPr>
          <w:b w:val="0"/>
          <w:bCs/>
          <w:sz w:val="22"/>
          <w:szCs w:val="22"/>
        </w:rPr>
        <w:t xml:space="preserve"> projektové náklady, náklady spojené s realizací kurzů celoživotního vzdělávání a doplňkové</w:t>
      </w:r>
      <w:r w:rsidR="005C0499">
        <w:rPr>
          <w:b w:val="0"/>
          <w:bCs/>
          <w:sz w:val="22"/>
          <w:szCs w:val="22"/>
        </w:rPr>
        <w:t xml:space="preserve"> činnosti</w:t>
      </w:r>
      <w:r>
        <w:rPr>
          <w:b w:val="0"/>
          <w:bCs/>
          <w:sz w:val="22"/>
          <w:szCs w:val="22"/>
        </w:rPr>
        <w:t xml:space="preserve">. Na celouniverzitní náklady fakulta odvedla </w:t>
      </w:r>
      <w:r w:rsidR="00775836">
        <w:rPr>
          <w:b w:val="0"/>
          <w:bCs/>
          <w:sz w:val="22"/>
          <w:szCs w:val="22"/>
        </w:rPr>
        <w:t>23 920</w:t>
      </w:r>
      <w:r>
        <w:rPr>
          <w:b w:val="0"/>
          <w:bCs/>
          <w:sz w:val="22"/>
          <w:szCs w:val="22"/>
        </w:rPr>
        <w:t xml:space="preserve"> tis. Kč. Do fondů převedla fakulta </w:t>
      </w:r>
      <w:r w:rsidR="00775836">
        <w:rPr>
          <w:b w:val="0"/>
          <w:bCs/>
          <w:sz w:val="22"/>
          <w:szCs w:val="22"/>
        </w:rPr>
        <w:t>6 747</w:t>
      </w:r>
      <w:r>
        <w:rPr>
          <w:b w:val="0"/>
          <w:bCs/>
          <w:sz w:val="22"/>
          <w:szCs w:val="22"/>
        </w:rPr>
        <w:t xml:space="preserve"> tis. Kč.</w:t>
      </w:r>
      <w:bookmarkEnd w:id="3"/>
      <w:bookmarkEnd w:id="4"/>
    </w:p>
    <w:p w14:paraId="5501BEDF" w14:textId="77777777" w:rsidR="00715E87" w:rsidRDefault="00715E87" w:rsidP="00715E87">
      <w:pPr>
        <w:pStyle w:val="Nadpis2"/>
        <w:jc w:val="both"/>
      </w:pPr>
    </w:p>
    <w:p w14:paraId="6F2C4179" w14:textId="6773D85F" w:rsidR="0067569B" w:rsidRDefault="00715E87" w:rsidP="00715E87">
      <w:pPr>
        <w:pStyle w:val="Nadpis2"/>
      </w:pPr>
      <w:bookmarkStart w:id="5" w:name="_Toc162011993"/>
      <w:r>
        <w:t>2.1 Srovnání skutečných nákladů s rozpočtem</w:t>
      </w:r>
      <w:bookmarkEnd w:id="5"/>
    </w:p>
    <w:p w14:paraId="6E3B617C" w14:textId="1205B92A" w:rsidR="00715E87" w:rsidRDefault="00715E87" w:rsidP="00715E87">
      <w:pPr>
        <w:jc w:val="both"/>
      </w:pPr>
      <w:r>
        <w:t>Na začátku kalendářního roku se sestavuje rozpočet fakulty. Jedná se o plán, který zahrnuje zdroje financování i předpokládané náklady včetně plánované tvorby fondů. Na konci kalendářního roku sestaví fakulty skutečné čerpání rozpočtu, které se následně porovná s plánem. Toto srovnání je zobrazeno v tabulce 2 Neinvestiční náklady.</w:t>
      </w:r>
    </w:p>
    <w:p w14:paraId="009D34F0" w14:textId="2A0482E7" w:rsidR="00715E87" w:rsidRDefault="00715E87" w:rsidP="00715E87">
      <w:pPr>
        <w:jc w:val="both"/>
      </w:pPr>
    </w:p>
    <w:p w14:paraId="468539BE" w14:textId="02753153" w:rsidR="00146ED3" w:rsidRDefault="00715E87" w:rsidP="00715E87">
      <w:r w:rsidRPr="004D22A3">
        <w:rPr>
          <w:rStyle w:val="Nzevknihy"/>
        </w:rPr>
        <w:t>Tabulka 2 Neinvestiční náklady</w:t>
      </w:r>
    </w:p>
    <w:tbl>
      <w:tblPr>
        <w:tblW w:w="9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178"/>
        <w:gridCol w:w="1178"/>
        <w:gridCol w:w="1178"/>
        <w:gridCol w:w="146"/>
      </w:tblGrid>
      <w:tr w:rsidR="001E00E1" w:rsidRPr="001E00E1" w14:paraId="1AA58C2E" w14:textId="77777777" w:rsidTr="001E00E1">
        <w:trPr>
          <w:gridAfter w:val="1"/>
          <w:wAfter w:w="138" w:type="dxa"/>
          <w:trHeight w:val="450"/>
        </w:trPr>
        <w:tc>
          <w:tcPr>
            <w:tcW w:w="549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EFFD316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Neinvestiční náklady (v tis. Kč)</w:t>
            </w:r>
          </w:p>
        </w:tc>
        <w:tc>
          <w:tcPr>
            <w:tcW w:w="11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51FB96" w14:textId="77777777" w:rsidR="001E00E1" w:rsidRPr="001E00E1" w:rsidRDefault="001E00E1" w:rsidP="001E00E1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Rozpočet</w:t>
            </w:r>
          </w:p>
        </w:tc>
        <w:tc>
          <w:tcPr>
            <w:tcW w:w="11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2D886D" w14:textId="77777777" w:rsidR="001E00E1" w:rsidRPr="001E00E1" w:rsidRDefault="001E00E1" w:rsidP="001E00E1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Rozdíl</w:t>
            </w:r>
          </w:p>
        </w:tc>
        <w:tc>
          <w:tcPr>
            <w:tcW w:w="11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0D79CC1" w14:textId="77777777" w:rsidR="001E00E1" w:rsidRPr="001E00E1" w:rsidRDefault="001E00E1" w:rsidP="001E00E1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Skutečnost</w:t>
            </w:r>
          </w:p>
        </w:tc>
      </w:tr>
      <w:tr w:rsidR="001E00E1" w:rsidRPr="001E00E1" w14:paraId="5360CBEE" w14:textId="77777777" w:rsidTr="001E00E1">
        <w:trPr>
          <w:trHeight w:val="300"/>
        </w:trPr>
        <w:tc>
          <w:tcPr>
            <w:tcW w:w="549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F821F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2FCF0D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272639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F24654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D463" w14:textId="77777777" w:rsidR="001E00E1" w:rsidRPr="001E00E1" w:rsidRDefault="001E00E1" w:rsidP="001E00E1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1E00E1" w:rsidRPr="001E00E1" w14:paraId="0CE7ABC0" w14:textId="77777777" w:rsidTr="001E00E1">
        <w:trPr>
          <w:trHeight w:val="300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7C4DF1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Hlavní činnost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C6E049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55 847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96F9CD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-1 649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FA30E6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54 198</w:t>
            </w:r>
          </w:p>
        </w:tc>
        <w:tc>
          <w:tcPr>
            <w:tcW w:w="138" w:type="dxa"/>
            <w:vAlign w:val="center"/>
            <w:hideMark/>
          </w:tcPr>
          <w:p w14:paraId="2D32B21C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47CA74D7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B4947B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Účelové akce a projekty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B10135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21 884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8835E2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1 424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87DA98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23 308</w:t>
            </w:r>
          </w:p>
        </w:tc>
        <w:tc>
          <w:tcPr>
            <w:tcW w:w="138" w:type="dxa"/>
            <w:vAlign w:val="center"/>
            <w:hideMark/>
          </w:tcPr>
          <w:p w14:paraId="33D9DB9A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3DD1F781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F14A67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Odpisy majetku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C01349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B07E08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DFE0AE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65</w:t>
            </w:r>
          </w:p>
        </w:tc>
        <w:tc>
          <w:tcPr>
            <w:tcW w:w="138" w:type="dxa"/>
            <w:vAlign w:val="center"/>
            <w:hideMark/>
          </w:tcPr>
          <w:p w14:paraId="66BB6300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18856CF2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10D70C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Celouniverzitní náklady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16B045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23 920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74F06D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3869A1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23 920</w:t>
            </w:r>
          </w:p>
        </w:tc>
        <w:tc>
          <w:tcPr>
            <w:tcW w:w="138" w:type="dxa"/>
            <w:vAlign w:val="center"/>
            <w:hideMark/>
          </w:tcPr>
          <w:p w14:paraId="25390BC6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1F4F5E5E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B1345D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Rezerva rozpočtu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2B352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161AF8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-1 500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156F31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38" w:type="dxa"/>
            <w:vAlign w:val="center"/>
            <w:hideMark/>
          </w:tcPr>
          <w:p w14:paraId="72576F22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74E010D5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E40F18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Doplňková činnost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23E87B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9A8B93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E97EE4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555</w:t>
            </w:r>
          </w:p>
        </w:tc>
        <w:tc>
          <w:tcPr>
            <w:tcW w:w="138" w:type="dxa"/>
            <w:vAlign w:val="center"/>
            <w:hideMark/>
          </w:tcPr>
          <w:p w14:paraId="15B5A74E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15A175F9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AFBE" w14:textId="77777777" w:rsidR="001E00E1" w:rsidRPr="001E00E1" w:rsidRDefault="001E00E1" w:rsidP="001E00E1">
            <w:pPr>
              <w:spacing w:line="240" w:lineRule="auto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přímé náklady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E94F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252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5B01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-22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375E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230</w:t>
            </w:r>
          </w:p>
        </w:tc>
        <w:tc>
          <w:tcPr>
            <w:tcW w:w="138" w:type="dxa"/>
            <w:vAlign w:val="center"/>
            <w:hideMark/>
          </w:tcPr>
          <w:p w14:paraId="231FCA52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41E5C481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77E30" w14:textId="77777777" w:rsidR="001E00E1" w:rsidRPr="001E00E1" w:rsidRDefault="001E00E1" w:rsidP="001E00E1">
            <w:pPr>
              <w:spacing w:line="240" w:lineRule="auto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hrubá režie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E222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286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255D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5A04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00E1">
              <w:rPr>
                <w:rFonts w:cs="Calibri"/>
                <w:szCs w:val="22"/>
              </w:rPr>
              <w:t>325</w:t>
            </w:r>
          </w:p>
        </w:tc>
        <w:tc>
          <w:tcPr>
            <w:tcW w:w="138" w:type="dxa"/>
            <w:vAlign w:val="center"/>
            <w:hideMark/>
          </w:tcPr>
          <w:p w14:paraId="1AF847C3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278CDA58" w14:textId="77777777" w:rsidTr="001E00E1">
        <w:trPr>
          <w:trHeight w:val="288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B05957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Převod do fondů (FPP, FÚUP)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60153A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1B3BDF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1 747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D49FC6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6 747</w:t>
            </w:r>
          </w:p>
        </w:tc>
        <w:tc>
          <w:tcPr>
            <w:tcW w:w="138" w:type="dxa"/>
            <w:vAlign w:val="center"/>
            <w:hideMark/>
          </w:tcPr>
          <w:p w14:paraId="02022688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0A41EEE2" w14:textId="77777777" w:rsidTr="001E00E1">
        <w:trPr>
          <w:trHeight w:val="300"/>
        </w:trPr>
        <w:tc>
          <w:tcPr>
            <w:tcW w:w="5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A11884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 xml:space="preserve">Jiné a mimořádné náklady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3679C8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EAFB32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B38BA6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38" w:type="dxa"/>
            <w:vAlign w:val="center"/>
            <w:hideMark/>
          </w:tcPr>
          <w:p w14:paraId="40013B04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0E1" w:rsidRPr="001E00E1" w14:paraId="4EB42B85" w14:textId="77777777" w:rsidTr="001E00E1">
        <w:trPr>
          <w:trHeight w:val="312"/>
        </w:trPr>
        <w:tc>
          <w:tcPr>
            <w:tcW w:w="54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E761332" w14:textId="77777777" w:rsidR="001E00E1" w:rsidRPr="001E00E1" w:rsidRDefault="001E00E1" w:rsidP="001E00E1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2CB1665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108 742</w:t>
            </w: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426E121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51</w:t>
            </w: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29790EB" w14:textId="77777777" w:rsidR="001E00E1" w:rsidRPr="001E00E1" w:rsidRDefault="001E00E1" w:rsidP="001E00E1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00E1">
              <w:rPr>
                <w:rFonts w:cs="Calibri"/>
                <w:b/>
                <w:bCs/>
                <w:szCs w:val="22"/>
              </w:rPr>
              <w:t>108 793</w:t>
            </w:r>
          </w:p>
        </w:tc>
        <w:tc>
          <w:tcPr>
            <w:tcW w:w="138" w:type="dxa"/>
            <w:vAlign w:val="center"/>
            <w:hideMark/>
          </w:tcPr>
          <w:p w14:paraId="1B9F70B9" w14:textId="77777777" w:rsidR="001E00E1" w:rsidRPr="001E00E1" w:rsidRDefault="001E00E1" w:rsidP="001E00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84DE39" w14:textId="7BB4148C" w:rsidR="005C0499" w:rsidRDefault="005C0499" w:rsidP="00715E87"/>
    <w:p w14:paraId="07ECF80D" w14:textId="1658963A" w:rsidR="00B76F07" w:rsidRDefault="009B052D" w:rsidP="004D22A3">
      <w:pPr>
        <w:jc w:val="both"/>
      </w:pPr>
      <w:r>
        <w:t xml:space="preserve">Při plánování rozpočtu </w:t>
      </w:r>
      <w:r w:rsidR="00B77C0D">
        <w:t>jsme vycházeli ze skutečného čerpání roku 202</w:t>
      </w:r>
      <w:r w:rsidR="008F3182">
        <w:t>4</w:t>
      </w:r>
      <w:r w:rsidR="00B77C0D">
        <w:t xml:space="preserve"> s přihlédnutím k plánovaným nákladům v roce 202</w:t>
      </w:r>
      <w:r w:rsidR="008F3182">
        <w:t>5</w:t>
      </w:r>
      <w:r w:rsidR="00443936">
        <w:t xml:space="preserve"> včetně </w:t>
      </w:r>
      <w:r w:rsidR="00EE1B4B">
        <w:t>navýšení celouniverzitních nákladů</w:t>
      </w:r>
      <w:r w:rsidR="008F3182">
        <w:t>, získání dotace z programu MŠMT</w:t>
      </w:r>
      <w:r w:rsidR="00EE1B4B">
        <w:t xml:space="preserve"> a</w:t>
      </w:r>
      <w:r w:rsidR="0085631F">
        <w:t> </w:t>
      </w:r>
      <w:r w:rsidR="00BB53AA">
        <w:t>z</w:t>
      </w:r>
      <w:r w:rsidR="00990565">
        <w:t> </w:t>
      </w:r>
      <w:r w:rsidR="00443936">
        <w:t xml:space="preserve">předpokladu </w:t>
      </w:r>
      <w:r w:rsidR="007658FF">
        <w:t>nákladů na realizaci kurzů celoživotního vzdělávání a doplňkové činnosti</w:t>
      </w:r>
      <w:r w:rsidR="00D241AA">
        <w:t>.</w:t>
      </w:r>
      <w:r w:rsidR="00772D46">
        <w:t xml:space="preserve"> Čerpání v hlavní činnosti</w:t>
      </w:r>
      <w:r w:rsidR="00D303BD">
        <w:t xml:space="preserve"> </w:t>
      </w:r>
      <w:r w:rsidR="00772D46">
        <w:t>ovlivnil</w:t>
      </w:r>
      <w:r w:rsidR="00C72B8B">
        <w:t>y</w:t>
      </w:r>
      <w:r w:rsidR="00B14FE0">
        <w:t xml:space="preserve"> </w:t>
      </w:r>
      <w:r w:rsidR="00D303BD">
        <w:t xml:space="preserve">zejména </w:t>
      </w:r>
      <w:r w:rsidR="00B14FE0">
        <w:t>změny v osobních nákladech (změna tarifní třídy, přijetí nových akademických pracovníků)</w:t>
      </w:r>
      <w:r w:rsidR="00D303BD">
        <w:t>.</w:t>
      </w:r>
      <w:r w:rsidR="00EE1B4B">
        <w:t xml:space="preserve"> </w:t>
      </w:r>
      <w:r w:rsidR="00BF2A0A">
        <w:t>Zároveň v tomto roce nedošlo, po dohodě s kvestorem UPCE, k optimalizaci hospodářského výsledku</w:t>
      </w:r>
      <w:r w:rsidR="006173E2">
        <w:t xml:space="preserve">, který byl převeden do </w:t>
      </w:r>
      <w:r w:rsidR="00FA3AFA">
        <w:t>F</w:t>
      </w:r>
      <w:r w:rsidR="006173E2">
        <w:t>ondu rozvoje investičního majetku</w:t>
      </w:r>
      <w:r w:rsidR="00FA3AFA">
        <w:t xml:space="preserve"> (dále jen FRIM)</w:t>
      </w:r>
      <w:r w:rsidR="006173E2">
        <w:t xml:space="preserve"> jako další rezervní zdroj pro výstavbu budoucí nové budovy fakulty.</w:t>
      </w:r>
      <w:r w:rsidR="008F3A5D">
        <w:t xml:space="preserve"> Důvodem je potřeba navýšení investičních prostředků fakulty, které je možné pouze z vygenerovaného hospodářského výsledku.</w:t>
      </w:r>
      <w:r w:rsidR="00714557">
        <w:t xml:space="preserve"> Do fondu provozních prostředků bylo převedeno 6 747 tis. Kč</w:t>
      </w:r>
      <w:r w:rsidR="000E719F">
        <w:t xml:space="preserve">. </w:t>
      </w:r>
    </w:p>
    <w:p w14:paraId="3522A3BB" w14:textId="77777777" w:rsidR="009B052D" w:rsidRDefault="009B052D" w:rsidP="004D22A3">
      <w:pPr>
        <w:jc w:val="both"/>
      </w:pPr>
    </w:p>
    <w:p w14:paraId="6DAF8369" w14:textId="1E59C9A4" w:rsidR="0003498B" w:rsidRPr="00C77C31" w:rsidRDefault="0003498B" w:rsidP="004D22A3">
      <w:pPr>
        <w:jc w:val="both"/>
      </w:pPr>
      <w:r w:rsidRPr="00C77C31">
        <w:t>Čerpání rozpočtu</w:t>
      </w:r>
      <w:r w:rsidR="000B374E" w:rsidRPr="00C77C31">
        <w:t xml:space="preserve"> </w:t>
      </w:r>
      <w:r w:rsidRPr="00C77C31">
        <w:t>sleduje</w:t>
      </w:r>
      <w:r w:rsidR="001810DE" w:rsidRPr="00C77C31">
        <w:t xml:space="preserve"> fakulta podle jednotlivých středisek. Konkrétně se jedná o katedru ošetřovatelství, katedru klinických oborů, katedru porodní asistence</w:t>
      </w:r>
      <w:r w:rsidR="005C0499" w:rsidRPr="00C77C31">
        <w:t>, perioperační péče</w:t>
      </w:r>
      <w:r w:rsidR="001810DE" w:rsidRPr="00C77C31">
        <w:t xml:space="preserve"> a zdravotně sociální p</w:t>
      </w:r>
      <w:r w:rsidR="005C0499" w:rsidRPr="00C77C31">
        <w:t>éče</w:t>
      </w:r>
      <w:r w:rsidR="001810DE" w:rsidRPr="00C77C31">
        <w:t xml:space="preserve">, referáty proděkanů, studijní oddělení, referát tajemníka, Centrum péče o zdraví, </w:t>
      </w:r>
      <w:r w:rsidR="001810DE" w:rsidRPr="00C77C31">
        <w:lastRenderedPageBreak/>
        <w:t xml:space="preserve">sekretariát děkana a středisko celofakultních nákladů, ze kterého financuje fakulta energie, celouniverzitní náklady, náklady, které nelze specifikovat pro konkrétní středisko a údržbu </w:t>
      </w:r>
      <w:r w:rsidR="009A3C41" w:rsidRPr="00C77C31">
        <w:t xml:space="preserve">a provoz </w:t>
      </w:r>
      <w:r w:rsidR="001810DE" w:rsidRPr="00C77C31">
        <w:t>fakulty. V roce 202</w:t>
      </w:r>
      <w:r w:rsidR="009A0F0C">
        <w:t>5</w:t>
      </w:r>
      <w:r w:rsidR="001810DE" w:rsidRPr="00C77C31">
        <w:t xml:space="preserve"> </w:t>
      </w:r>
      <w:r w:rsidR="005C6CC6" w:rsidRPr="00C77C31">
        <w:t>byly</w:t>
      </w:r>
      <w:r w:rsidR="001810DE" w:rsidRPr="00C77C31">
        <w:t xml:space="preserve"> celofakultní náklady </w:t>
      </w:r>
      <w:r w:rsidR="00682804">
        <w:t>36 050</w:t>
      </w:r>
      <w:r w:rsidR="001810DE" w:rsidRPr="00C77C31">
        <w:t xml:space="preserve"> tis. Kč, tedy </w:t>
      </w:r>
      <w:r w:rsidR="00124DE4">
        <w:t>33,13</w:t>
      </w:r>
      <w:r w:rsidR="001810DE" w:rsidRPr="00C77C31">
        <w:t xml:space="preserve"> % celkových nákladů.</w:t>
      </w:r>
    </w:p>
    <w:p w14:paraId="74060C0A" w14:textId="585439AA" w:rsidR="009A3C41" w:rsidRPr="00EF4640" w:rsidRDefault="009A3C41" w:rsidP="004D22A3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C77C31">
        <w:t>Plánovaný rozpočet včetně skutečného čerpání jednotlivých kateder zobrazuje tabulka 3. Z katedrálních zdrojů jsou financovány převážně osobní náklady zaměstnanců dané katedry a služby v podobě cestovného, účasti na konferencích</w:t>
      </w:r>
      <w:r w:rsidR="00522383" w:rsidRPr="00C77C31">
        <w:t xml:space="preserve">, </w:t>
      </w:r>
      <w:r w:rsidRPr="00C77C31">
        <w:t>překlady, publikační poplatk</w:t>
      </w:r>
      <w:r w:rsidR="00522383" w:rsidRPr="00C77C31">
        <w:t>y</w:t>
      </w:r>
      <w:r w:rsidRPr="00C77C31">
        <w:t xml:space="preserve">. </w:t>
      </w:r>
      <w:r w:rsidRPr="00C77C31">
        <w:rPr>
          <w:rFonts w:cs="Arial"/>
          <w:szCs w:val="20"/>
        </w:rPr>
        <w:t>Při stanovení rozpočtu vychází fakulta z poměru velikosti dané katedry (počet studentů na katedře, přepočtený úvazek akademických pracovníků na katedře) a ze skutečně čerpaných nákladů v předchozích letech s výhledem čerpání těchto prostředků v dalším roce.</w:t>
      </w:r>
      <w:r w:rsidRPr="00EF4640">
        <w:rPr>
          <w:rFonts w:cs="Arial"/>
          <w:szCs w:val="20"/>
        </w:rPr>
        <w:t xml:space="preserve"> </w:t>
      </w:r>
    </w:p>
    <w:p w14:paraId="09AB2B8F" w14:textId="4E72B338" w:rsidR="001810DE" w:rsidRDefault="001810DE" w:rsidP="001810DE">
      <w:pPr>
        <w:jc w:val="both"/>
      </w:pPr>
    </w:p>
    <w:p w14:paraId="21525B83" w14:textId="13AE9FF7" w:rsidR="009A3C41" w:rsidRDefault="009A3C41" w:rsidP="001810DE">
      <w:pPr>
        <w:jc w:val="both"/>
        <w:rPr>
          <w:rStyle w:val="Nzevknihy"/>
        </w:rPr>
      </w:pPr>
      <w:r w:rsidRPr="005A62F8">
        <w:rPr>
          <w:rStyle w:val="Nzevknihy"/>
        </w:rPr>
        <w:t>Tabulka 3 Rozpočty kateder</w:t>
      </w:r>
      <w:r w:rsidRPr="004D22A3">
        <w:rPr>
          <w:rStyle w:val="Nzevknihy"/>
        </w:rPr>
        <w:t xml:space="preserve"> </w:t>
      </w: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1214"/>
        <w:gridCol w:w="1214"/>
        <w:gridCol w:w="1214"/>
        <w:gridCol w:w="149"/>
      </w:tblGrid>
      <w:tr w:rsidR="005A62F8" w:rsidRPr="005A62F8" w14:paraId="74CE8F74" w14:textId="77777777" w:rsidTr="005A62F8">
        <w:trPr>
          <w:gridAfter w:val="1"/>
          <w:wAfter w:w="149" w:type="dxa"/>
          <w:trHeight w:val="450"/>
        </w:trPr>
        <w:tc>
          <w:tcPr>
            <w:tcW w:w="551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483CABE" w14:textId="77777777" w:rsidR="005A62F8" w:rsidRPr="005A62F8" w:rsidRDefault="005A62F8" w:rsidP="005A62F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Rozpočty jednotlivých kateder ( v tis. Kč)</w:t>
            </w:r>
          </w:p>
        </w:tc>
        <w:tc>
          <w:tcPr>
            <w:tcW w:w="121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F0592B3" w14:textId="77777777" w:rsidR="005A62F8" w:rsidRPr="005A62F8" w:rsidRDefault="005A62F8" w:rsidP="005A62F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Rozpočet</w:t>
            </w:r>
          </w:p>
        </w:tc>
        <w:tc>
          <w:tcPr>
            <w:tcW w:w="121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3D98EEE" w14:textId="77777777" w:rsidR="005A62F8" w:rsidRPr="005A62F8" w:rsidRDefault="005A62F8" w:rsidP="005A62F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Rozdíl</w:t>
            </w:r>
          </w:p>
        </w:tc>
        <w:tc>
          <w:tcPr>
            <w:tcW w:w="121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4D1940" w14:textId="77777777" w:rsidR="005A62F8" w:rsidRPr="005A62F8" w:rsidRDefault="005A62F8" w:rsidP="005A62F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Skutečnost</w:t>
            </w:r>
          </w:p>
        </w:tc>
      </w:tr>
      <w:tr w:rsidR="005A62F8" w:rsidRPr="005A62F8" w14:paraId="7EA67B2A" w14:textId="77777777" w:rsidTr="005A62F8">
        <w:trPr>
          <w:trHeight w:val="336"/>
        </w:trPr>
        <w:tc>
          <w:tcPr>
            <w:tcW w:w="551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6241DD" w14:textId="77777777" w:rsidR="005A62F8" w:rsidRPr="005A62F8" w:rsidRDefault="005A62F8" w:rsidP="005A62F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1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858457" w14:textId="77777777" w:rsidR="005A62F8" w:rsidRPr="005A62F8" w:rsidRDefault="005A62F8" w:rsidP="005A62F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1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32DB44" w14:textId="77777777" w:rsidR="005A62F8" w:rsidRPr="005A62F8" w:rsidRDefault="005A62F8" w:rsidP="005A62F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1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129B7E" w14:textId="77777777" w:rsidR="005A62F8" w:rsidRPr="005A62F8" w:rsidRDefault="005A62F8" w:rsidP="005A62F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F7CF" w14:textId="77777777" w:rsidR="005A62F8" w:rsidRPr="005A62F8" w:rsidRDefault="005A62F8" w:rsidP="005A62F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5A62F8" w:rsidRPr="005A62F8" w14:paraId="4A90113C" w14:textId="77777777" w:rsidTr="005A62F8">
        <w:trPr>
          <w:trHeight w:val="32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F897" w14:textId="77777777" w:rsidR="005A62F8" w:rsidRPr="005A62F8" w:rsidRDefault="005A62F8" w:rsidP="005A62F8">
            <w:pPr>
              <w:spacing w:line="240" w:lineRule="auto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Katedra ošetřovatelství (70140)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8CD9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17 446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526D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1 121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E129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18 567</w:t>
            </w:r>
          </w:p>
        </w:tc>
        <w:tc>
          <w:tcPr>
            <w:tcW w:w="149" w:type="dxa"/>
            <w:vAlign w:val="center"/>
            <w:hideMark/>
          </w:tcPr>
          <w:p w14:paraId="26C0B943" w14:textId="77777777" w:rsidR="005A62F8" w:rsidRPr="005A62F8" w:rsidRDefault="005A62F8" w:rsidP="005A62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2F8" w:rsidRPr="005A62F8" w14:paraId="4EA94D5D" w14:textId="77777777" w:rsidTr="005A62F8">
        <w:trPr>
          <w:trHeight w:val="32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1918" w14:textId="77777777" w:rsidR="005A62F8" w:rsidRPr="005A62F8" w:rsidRDefault="005A62F8" w:rsidP="005A62F8">
            <w:pPr>
              <w:spacing w:line="240" w:lineRule="auto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Katedra porodní asistence a zdravotně sociální práce (70150)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6F95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10 256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7401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-170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3224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10 086</w:t>
            </w:r>
          </w:p>
        </w:tc>
        <w:tc>
          <w:tcPr>
            <w:tcW w:w="149" w:type="dxa"/>
            <w:vAlign w:val="center"/>
            <w:hideMark/>
          </w:tcPr>
          <w:p w14:paraId="082D5883" w14:textId="77777777" w:rsidR="005A62F8" w:rsidRPr="005A62F8" w:rsidRDefault="005A62F8" w:rsidP="005A62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2F8" w:rsidRPr="005A62F8" w14:paraId="6B217686" w14:textId="77777777" w:rsidTr="005A62F8">
        <w:trPr>
          <w:trHeight w:val="320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D654" w14:textId="77777777" w:rsidR="005A62F8" w:rsidRPr="005A62F8" w:rsidRDefault="005A62F8" w:rsidP="005A62F8">
            <w:pPr>
              <w:spacing w:line="240" w:lineRule="auto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Katedra klinických oborů (70160)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43C9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12 091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45BF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-180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6E0D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5A62F8">
              <w:rPr>
                <w:rFonts w:cs="Calibri"/>
                <w:szCs w:val="22"/>
              </w:rPr>
              <w:t>11 911</w:t>
            </w:r>
          </w:p>
        </w:tc>
        <w:tc>
          <w:tcPr>
            <w:tcW w:w="149" w:type="dxa"/>
            <w:vAlign w:val="center"/>
            <w:hideMark/>
          </w:tcPr>
          <w:p w14:paraId="58D7D55F" w14:textId="77777777" w:rsidR="005A62F8" w:rsidRPr="005A62F8" w:rsidRDefault="005A62F8" w:rsidP="005A62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2F8" w:rsidRPr="005A62F8" w14:paraId="4CDBB5E8" w14:textId="77777777" w:rsidTr="005A62F8">
        <w:trPr>
          <w:trHeight w:val="351"/>
        </w:trPr>
        <w:tc>
          <w:tcPr>
            <w:tcW w:w="551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DCCEAC9" w14:textId="77777777" w:rsidR="005A62F8" w:rsidRPr="005A62F8" w:rsidRDefault="005A62F8" w:rsidP="005A62F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12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95827D1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39 793</w:t>
            </w:r>
          </w:p>
        </w:tc>
        <w:tc>
          <w:tcPr>
            <w:tcW w:w="12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5FC4E14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771</w:t>
            </w:r>
          </w:p>
        </w:tc>
        <w:tc>
          <w:tcPr>
            <w:tcW w:w="12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B4BFDE1" w14:textId="77777777" w:rsidR="005A62F8" w:rsidRPr="005A62F8" w:rsidRDefault="005A62F8" w:rsidP="005A62F8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5A62F8">
              <w:rPr>
                <w:rFonts w:cs="Calibri"/>
                <w:b/>
                <w:bCs/>
                <w:szCs w:val="22"/>
              </w:rPr>
              <w:t>40 564</w:t>
            </w:r>
          </w:p>
        </w:tc>
        <w:tc>
          <w:tcPr>
            <w:tcW w:w="149" w:type="dxa"/>
            <w:vAlign w:val="center"/>
            <w:hideMark/>
          </w:tcPr>
          <w:p w14:paraId="6D576572" w14:textId="77777777" w:rsidR="005A62F8" w:rsidRPr="005A62F8" w:rsidRDefault="005A62F8" w:rsidP="005A62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A9A5BA" w14:textId="6F20AD5E" w:rsidR="009A3C41" w:rsidRDefault="009A3C41" w:rsidP="001810DE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E5043">
        <w:instrText xml:space="preserve">Excel.Sheet.12 "D:\\Data\\hath3393\\OneDrive - Univerzita Pardubice\\Plocha\\Tajemník\\Výroční zpráva\\2022\\hospodaření\\výroční zpráva 2022 - podklady.xlsx" rozpočty_kateder_2022!R1C1:R6C4 </w:instrText>
      </w:r>
      <w:r>
        <w:instrText xml:space="preserve">\a \f 4 \h </w:instrText>
      </w:r>
      <w:r>
        <w:fldChar w:fldCharType="separate"/>
      </w:r>
    </w:p>
    <w:p w14:paraId="75709612" w14:textId="653CFCB2" w:rsidR="00471A11" w:rsidRDefault="009A3C41" w:rsidP="001810DE">
      <w:pPr>
        <w:jc w:val="both"/>
      </w:pPr>
      <w:r>
        <w:fldChar w:fldCharType="end"/>
      </w:r>
      <w:r w:rsidR="00B9614A">
        <w:t>Rozdíl ve skutečném čerpání u kateder je primárně ovlivněn výší osobních nákladů včetně nákladů na výplatu odměn</w:t>
      </w:r>
      <w:r w:rsidR="00994F7A">
        <w:t xml:space="preserve"> a náhrad za dovolenou.</w:t>
      </w:r>
      <w:r w:rsidR="00DA5AB8">
        <w:t xml:space="preserve"> </w:t>
      </w:r>
      <w:r w:rsidR="009F5971">
        <w:t>K úspoře došlo v oblasti nákupu zdravotnického materiálu a modelů, který byl primárně financován z programu MŠMT na podporu navýšení počtu nelékařských zdravotnických pracovníků.</w:t>
      </w:r>
    </w:p>
    <w:p w14:paraId="3BF28F77" w14:textId="77777777" w:rsidR="009A3C41" w:rsidRPr="00715E87" w:rsidRDefault="009A3C41" w:rsidP="001810DE">
      <w:pPr>
        <w:jc w:val="both"/>
      </w:pPr>
    </w:p>
    <w:p w14:paraId="65936EF2" w14:textId="6376ABF5" w:rsidR="00715E87" w:rsidRDefault="00715E87" w:rsidP="00715E87">
      <w:pPr>
        <w:pStyle w:val="Nadpis2"/>
      </w:pPr>
      <w:bookmarkStart w:id="6" w:name="_Toc162011994"/>
      <w:r>
        <w:t>2.2 Druhové členění nákladů</w:t>
      </w:r>
      <w:bookmarkEnd w:id="6"/>
    </w:p>
    <w:p w14:paraId="5AAFCD23" w14:textId="255DB093" w:rsidR="009A3C41" w:rsidRDefault="009A3C41" w:rsidP="009A3C41"/>
    <w:p w14:paraId="164BD0B8" w14:textId="35B80697" w:rsidR="009A3C41" w:rsidRDefault="009A3C41" w:rsidP="00283937">
      <w:pPr>
        <w:jc w:val="both"/>
      </w:pPr>
      <w:r>
        <w:t xml:space="preserve">Druhové členění nákladů sleduje fakulta v dlouhodobém horizontu z důvodu regulace nákladů na jednotlivé položky. </w:t>
      </w:r>
      <w:r w:rsidR="0086488A">
        <w:t xml:space="preserve">Rozložení nákladů v jednotlivých položkách nákladů ovlivňuje aktuální zapojení fakulty do projektů (např. úhrada zdravotnického materiálu z projektových zdrojů místo fakultních). </w:t>
      </w:r>
    </w:p>
    <w:p w14:paraId="39F01A2F" w14:textId="051AD546" w:rsidR="006B3F6E" w:rsidRDefault="00283937" w:rsidP="00283937">
      <w:pPr>
        <w:jc w:val="both"/>
      </w:pPr>
      <w:r>
        <w:t>Druhové náklady zároveň sledujeme pro jednotlivé skupiny nákladů definované rozpočtem, tedy hlavní činnost, účelové akce a projekty a doplňkovou činnost. Součástí nákladů na hlavní činnost jsou celouniverzitní náklady a odpisy majetku</w:t>
      </w:r>
      <w:r w:rsidR="00FA3D57">
        <w:t xml:space="preserve"> a </w:t>
      </w:r>
      <w:r>
        <w:t>prostředky převedené do fond</w:t>
      </w:r>
      <w:r w:rsidR="00FA3D57">
        <w:t>u</w:t>
      </w:r>
      <w:r>
        <w:t xml:space="preserve"> provozních prostředků</w:t>
      </w:r>
      <w:r w:rsidR="00FA3D57">
        <w:t xml:space="preserve"> vytvoření z dotace MŠMT</w:t>
      </w:r>
      <w:r>
        <w:t xml:space="preserve">. </w:t>
      </w:r>
    </w:p>
    <w:p w14:paraId="6FE199DB" w14:textId="6E226E58" w:rsidR="00283937" w:rsidRDefault="00283937" w:rsidP="00283937">
      <w:pPr>
        <w:jc w:val="both"/>
      </w:pPr>
      <w:r>
        <w:t>Čerpání nákladů dle druhu znázorňuje tabulka 4.</w:t>
      </w:r>
    </w:p>
    <w:p w14:paraId="70A2C580" w14:textId="4B294C6C" w:rsidR="006B3F6E" w:rsidRDefault="006B3F6E">
      <w:pPr>
        <w:spacing w:after="160" w:line="259" w:lineRule="auto"/>
      </w:pPr>
      <w:r>
        <w:br w:type="page"/>
      </w:r>
    </w:p>
    <w:p w14:paraId="52887289" w14:textId="78DFFDED" w:rsidR="00283937" w:rsidRPr="004D22A3" w:rsidRDefault="00283937" w:rsidP="009A3C41">
      <w:pPr>
        <w:rPr>
          <w:rStyle w:val="Nzevknihy"/>
        </w:rPr>
      </w:pPr>
      <w:r w:rsidRPr="004D22A3">
        <w:rPr>
          <w:rStyle w:val="Nzevknihy"/>
        </w:rPr>
        <w:lastRenderedPageBreak/>
        <w:t xml:space="preserve">Tabulka 4 Druhové členění nákladů </w:t>
      </w:r>
    </w:p>
    <w:tbl>
      <w:tblPr>
        <w:tblW w:w="9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5"/>
        <w:gridCol w:w="1231"/>
        <w:gridCol w:w="1234"/>
        <w:gridCol w:w="1237"/>
        <w:gridCol w:w="1231"/>
        <w:gridCol w:w="153"/>
      </w:tblGrid>
      <w:tr w:rsidR="002B2283" w:rsidRPr="002B2283" w14:paraId="0266E365" w14:textId="77777777" w:rsidTr="00D105A9">
        <w:trPr>
          <w:gridAfter w:val="1"/>
          <w:wAfter w:w="153" w:type="dxa"/>
          <w:trHeight w:val="450"/>
        </w:trPr>
        <w:tc>
          <w:tcPr>
            <w:tcW w:w="400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082D64B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Neinvestiční náklady (v tis. Kč)</w:t>
            </w:r>
          </w:p>
        </w:tc>
        <w:tc>
          <w:tcPr>
            <w:tcW w:w="123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663D3A9" w14:textId="77777777" w:rsidR="002B2283" w:rsidRPr="002B2283" w:rsidRDefault="002B2283" w:rsidP="002B22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Hlavní činnost</w:t>
            </w:r>
          </w:p>
        </w:tc>
        <w:tc>
          <w:tcPr>
            <w:tcW w:w="123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EBBE11E" w14:textId="77777777" w:rsidR="002B2283" w:rsidRPr="002B2283" w:rsidRDefault="002B2283" w:rsidP="002B22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Účelové akce a projekty</w:t>
            </w:r>
          </w:p>
        </w:tc>
        <w:tc>
          <w:tcPr>
            <w:tcW w:w="123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8B83D3A" w14:textId="77777777" w:rsidR="002B2283" w:rsidRPr="002B2283" w:rsidRDefault="002B2283" w:rsidP="002B22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Doplňková činnost</w:t>
            </w:r>
          </w:p>
        </w:tc>
        <w:tc>
          <w:tcPr>
            <w:tcW w:w="123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F11A154" w14:textId="77777777" w:rsidR="002B2283" w:rsidRPr="002B2283" w:rsidRDefault="002B2283" w:rsidP="002B22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Celkem</w:t>
            </w:r>
          </w:p>
        </w:tc>
      </w:tr>
      <w:tr w:rsidR="002B2283" w:rsidRPr="002B2283" w14:paraId="72277423" w14:textId="77777777" w:rsidTr="00D105A9">
        <w:trPr>
          <w:trHeight w:val="410"/>
        </w:trPr>
        <w:tc>
          <w:tcPr>
            <w:tcW w:w="400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2E3EEE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3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3114DE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3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FA6269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3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9E4735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3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1EC034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5FC8" w14:textId="77777777" w:rsidR="002B2283" w:rsidRPr="002B2283" w:rsidRDefault="002B2283" w:rsidP="002B2283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B2283" w:rsidRPr="002B2283" w14:paraId="1DB192BF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E9F65E9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Materiálové náklady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4159DF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370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C5921F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4 608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278942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D7DE5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4 981</w:t>
            </w:r>
          </w:p>
        </w:tc>
        <w:tc>
          <w:tcPr>
            <w:tcW w:w="153" w:type="dxa"/>
            <w:vAlign w:val="center"/>
            <w:hideMark/>
          </w:tcPr>
          <w:p w14:paraId="027A022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61D1D17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778A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materiál všeobecný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C4E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58C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573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88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B7B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788</w:t>
            </w:r>
          </w:p>
        </w:tc>
        <w:tc>
          <w:tcPr>
            <w:tcW w:w="153" w:type="dxa"/>
            <w:vAlign w:val="center"/>
            <w:hideMark/>
          </w:tcPr>
          <w:p w14:paraId="72BC8A93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3719DF6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E693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zdravotnický materiál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2D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D1C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249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82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560</w:t>
            </w:r>
          </w:p>
        </w:tc>
        <w:tc>
          <w:tcPr>
            <w:tcW w:w="153" w:type="dxa"/>
            <w:vAlign w:val="center"/>
            <w:hideMark/>
          </w:tcPr>
          <w:p w14:paraId="0D77AE97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0C1C929B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CEAA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literatura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49F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6C7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BA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551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47</w:t>
            </w:r>
          </w:p>
        </w:tc>
        <w:tc>
          <w:tcPr>
            <w:tcW w:w="153" w:type="dxa"/>
            <w:vAlign w:val="center"/>
            <w:hideMark/>
          </w:tcPr>
          <w:p w14:paraId="17009338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693B656" w14:textId="77777777" w:rsidTr="00D105A9">
        <w:trPr>
          <w:trHeight w:val="453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EDD2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drobný hmotný majetek a tech. zhodnocení do 40 000 Kč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CE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B3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3 491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6F8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4B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3 586</w:t>
            </w:r>
          </w:p>
        </w:tc>
        <w:tc>
          <w:tcPr>
            <w:tcW w:w="153" w:type="dxa"/>
            <w:vAlign w:val="center"/>
            <w:hideMark/>
          </w:tcPr>
          <w:p w14:paraId="2A263388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4C426CC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C6B11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Energie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85CEB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416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8586E9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1203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397797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51B7F3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1 619</w:t>
            </w:r>
          </w:p>
        </w:tc>
        <w:tc>
          <w:tcPr>
            <w:tcW w:w="153" w:type="dxa"/>
            <w:vAlign w:val="center"/>
            <w:hideMark/>
          </w:tcPr>
          <w:p w14:paraId="1AEBD7D8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57E12790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4115C31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Opravy a udržování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90A95D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237BB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A4D620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5B5DAB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61</w:t>
            </w:r>
          </w:p>
        </w:tc>
        <w:tc>
          <w:tcPr>
            <w:tcW w:w="153" w:type="dxa"/>
            <w:vAlign w:val="center"/>
            <w:hideMark/>
          </w:tcPr>
          <w:p w14:paraId="2C947F37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0D4356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3B79D32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Cestovné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1677D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515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700ED9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9A79C5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E24767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704</w:t>
            </w:r>
          </w:p>
        </w:tc>
        <w:tc>
          <w:tcPr>
            <w:tcW w:w="153" w:type="dxa"/>
            <w:vAlign w:val="center"/>
            <w:hideMark/>
          </w:tcPr>
          <w:p w14:paraId="17E17F10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2F51D0A0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4074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 xml:space="preserve">tuzemské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2770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66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E72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121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367</w:t>
            </w:r>
          </w:p>
        </w:tc>
        <w:tc>
          <w:tcPr>
            <w:tcW w:w="153" w:type="dxa"/>
            <w:vAlign w:val="center"/>
            <w:hideMark/>
          </w:tcPr>
          <w:p w14:paraId="0085FD44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5F0AA7D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696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zahraniční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82AE7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D31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44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6C3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283</w:t>
            </w:r>
          </w:p>
        </w:tc>
        <w:tc>
          <w:tcPr>
            <w:tcW w:w="153" w:type="dxa"/>
            <w:vAlign w:val="center"/>
            <w:hideMark/>
          </w:tcPr>
          <w:p w14:paraId="5E89944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70D452B2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8520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ostatní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0E1E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85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954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2C7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54</w:t>
            </w:r>
          </w:p>
        </w:tc>
        <w:tc>
          <w:tcPr>
            <w:tcW w:w="153" w:type="dxa"/>
            <w:vAlign w:val="center"/>
            <w:hideMark/>
          </w:tcPr>
          <w:p w14:paraId="44E3C39E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2AA9C6B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C756FC0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Náklady na reprezentaci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04CE09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517B9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265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FE3AA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41DBFE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566</w:t>
            </w:r>
          </w:p>
        </w:tc>
        <w:tc>
          <w:tcPr>
            <w:tcW w:w="153" w:type="dxa"/>
            <w:vAlign w:val="center"/>
            <w:hideMark/>
          </w:tcPr>
          <w:p w14:paraId="445742CD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5649A70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3FAEEE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Služby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426B62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2 063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C27D4C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1 367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F19EC5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08CCBF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3 430</w:t>
            </w:r>
          </w:p>
        </w:tc>
        <w:tc>
          <w:tcPr>
            <w:tcW w:w="153" w:type="dxa"/>
            <w:vAlign w:val="center"/>
            <w:hideMark/>
          </w:tcPr>
          <w:p w14:paraId="64791D44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26DA51BC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8145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služby spojů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D11F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7F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162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AC1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53</w:t>
            </w:r>
          </w:p>
        </w:tc>
        <w:tc>
          <w:tcPr>
            <w:tcW w:w="153" w:type="dxa"/>
            <w:vAlign w:val="center"/>
            <w:hideMark/>
          </w:tcPr>
          <w:p w14:paraId="21326F08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0F72A87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6C3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vložné, školení, semináře, exkurze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0B634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C6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00A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FD5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504</w:t>
            </w:r>
          </w:p>
        </w:tc>
        <w:tc>
          <w:tcPr>
            <w:tcW w:w="153" w:type="dxa"/>
            <w:vAlign w:val="center"/>
            <w:hideMark/>
          </w:tcPr>
          <w:p w14:paraId="6F043503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53E422DD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5476D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software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1FFE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42E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10D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7E9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86</w:t>
            </w:r>
          </w:p>
        </w:tc>
        <w:tc>
          <w:tcPr>
            <w:tcW w:w="153" w:type="dxa"/>
            <w:vAlign w:val="center"/>
            <w:hideMark/>
          </w:tcPr>
          <w:p w14:paraId="21123E13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2376104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4875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propagace, inzerce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5A97F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C2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C0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DF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165</w:t>
            </w:r>
          </w:p>
        </w:tc>
        <w:tc>
          <w:tcPr>
            <w:tcW w:w="153" w:type="dxa"/>
            <w:vAlign w:val="center"/>
            <w:hideMark/>
          </w:tcPr>
          <w:p w14:paraId="3BD47FCB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C780B44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C13B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překlady, publikační poplatky, statistiky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AEA1B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D20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1E5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569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311</w:t>
            </w:r>
          </w:p>
        </w:tc>
        <w:tc>
          <w:tcPr>
            <w:tcW w:w="153" w:type="dxa"/>
            <w:vAlign w:val="center"/>
            <w:hideMark/>
          </w:tcPr>
          <w:p w14:paraId="7F0C7882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345971F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E2E1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platba za DPP v PN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90ADE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3A6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AB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BC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53" w:type="dxa"/>
            <w:vAlign w:val="center"/>
            <w:hideMark/>
          </w:tcPr>
          <w:p w14:paraId="6C7302F6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C225CFF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4E8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nájem, stěhování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9BD0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CA2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EE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C51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161</w:t>
            </w:r>
          </w:p>
        </w:tc>
        <w:tc>
          <w:tcPr>
            <w:tcW w:w="153" w:type="dxa"/>
            <w:vAlign w:val="center"/>
            <w:hideMark/>
          </w:tcPr>
          <w:p w14:paraId="1589377C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567BB42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9161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patentní řízení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1421E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C22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628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BC4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153" w:type="dxa"/>
            <w:vAlign w:val="center"/>
            <w:hideMark/>
          </w:tcPr>
          <w:p w14:paraId="4635B4D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7B765A20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7EF6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tisky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1E6EB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64E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279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9E8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26</w:t>
            </w:r>
          </w:p>
        </w:tc>
        <w:tc>
          <w:tcPr>
            <w:tcW w:w="153" w:type="dxa"/>
            <w:vAlign w:val="center"/>
            <w:hideMark/>
          </w:tcPr>
          <w:p w14:paraId="2B767BC1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2245B740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749D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služby SZŠ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C26F9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1 126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FBC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946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7C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DA6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2 072</w:t>
            </w:r>
          </w:p>
        </w:tc>
        <w:tc>
          <w:tcPr>
            <w:tcW w:w="153" w:type="dxa"/>
            <w:vAlign w:val="center"/>
            <w:hideMark/>
          </w:tcPr>
          <w:p w14:paraId="0D2A13C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6D6BC0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D2B0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služby ostatní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068BD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ACF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B5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1C7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42</w:t>
            </w:r>
          </w:p>
        </w:tc>
        <w:tc>
          <w:tcPr>
            <w:tcW w:w="153" w:type="dxa"/>
            <w:vAlign w:val="center"/>
            <w:hideMark/>
          </w:tcPr>
          <w:p w14:paraId="51E8B0E2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BBC36DE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6F7F790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Osobní náklady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1E130C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49 945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19C1A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13 391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226D85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213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7468D0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63 549</w:t>
            </w:r>
          </w:p>
        </w:tc>
        <w:tc>
          <w:tcPr>
            <w:tcW w:w="153" w:type="dxa"/>
            <w:vAlign w:val="center"/>
            <w:hideMark/>
          </w:tcPr>
          <w:p w14:paraId="489DE08C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25096C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E4F3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hrubé mzdy včetně odměn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09135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34 298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0D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9 762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296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173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44 169</w:t>
            </w:r>
          </w:p>
        </w:tc>
        <w:tc>
          <w:tcPr>
            <w:tcW w:w="153" w:type="dxa"/>
            <w:vAlign w:val="center"/>
            <w:hideMark/>
          </w:tcPr>
          <w:p w14:paraId="18FF3994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2FE430BC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B94A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DPP, DPČ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52EC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3 037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CC3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CCE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68E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3 368</w:t>
            </w:r>
          </w:p>
        </w:tc>
        <w:tc>
          <w:tcPr>
            <w:tcW w:w="153" w:type="dxa"/>
            <w:vAlign w:val="center"/>
            <w:hideMark/>
          </w:tcPr>
          <w:p w14:paraId="4391151F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02BF6AF4" w14:textId="77777777" w:rsidTr="00D105A9">
        <w:trPr>
          <w:trHeight w:val="26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7A68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zákonné zdravotní a sociální pojištění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AC70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11 578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92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3 299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DF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8A0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14 914</w:t>
            </w:r>
          </w:p>
        </w:tc>
        <w:tc>
          <w:tcPr>
            <w:tcW w:w="153" w:type="dxa"/>
            <w:vAlign w:val="center"/>
            <w:hideMark/>
          </w:tcPr>
          <w:p w14:paraId="313CC0DB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0D3ED665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BA82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zákonné sociální náklady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DDB29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1 032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A5F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170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D43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1 098</w:t>
            </w:r>
          </w:p>
        </w:tc>
        <w:tc>
          <w:tcPr>
            <w:tcW w:w="153" w:type="dxa"/>
            <w:vAlign w:val="center"/>
            <w:hideMark/>
          </w:tcPr>
          <w:p w14:paraId="240920DF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8E6DB22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EB389D4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Jiné ostatní náklady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8BB592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31 250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6578CB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2 243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BE7C7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1B979E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33 818</w:t>
            </w:r>
          </w:p>
        </w:tc>
        <w:tc>
          <w:tcPr>
            <w:tcW w:w="153" w:type="dxa"/>
            <w:vAlign w:val="center"/>
            <w:hideMark/>
          </w:tcPr>
          <w:p w14:paraId="6385A3B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731B9E6D" w14:textId="77777777" w:rsidTr="00D105A9">
        <w:trPr>
          <w:trHeight w:val="272"/>
        </w:trPr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628B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 xml:space="preserve">stipendia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E5B5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C2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1 228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C693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B28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1 236</w:t>
            </w:r>
          </w:p>
        </w:tc>
        <w:tc>
          <w:tcPr>
            <w:tcW w:w="153" w:type="dxa"/>
            <w:vAlign w:val="center"/>
            <w:hideMark/>
          </w:tcPr>
          <w:p w14:paraId="36D060BA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28BAEC6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BA28" w14:textId="55F0AE94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smlouvy (mentoring, sběr dat,</w:t>
            </w:r>
            <w:r w:rsidR="00022B1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B2283">
              <w:rPr>
                <w:rFonts w:asciiTheme="minorHAnsi" w:hAnsiTheme="minorHAnsi" w:cstheme="minorHAnsi"/>
                <w:szCs w:val="22"/>
              </w:rPr>
              <w:t>posudky)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73C1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555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201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797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940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EA2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1 352</w:t>
            </w:r>
          </w:p>
        </w:tc>
        <w:tc>
          <w:tcPr>
            <w:tcW w:w="153" w:type="dxa"/>
            <w:vAlign w:val="center"/>
            <w:hideMark/>
          </w:tcPr>
          <w:p w14:paraId="72C67537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5AC9BF4E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BC13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kurzové ztráty, bankovní poplatky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7C5B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131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0F5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1AE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53" w:type="dxa"/>
            <w:vAlign w:val="center"/>
            <w:hideMark/>
          </w:tcPr>
          <w:p w14:paraId="21BFEBE7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29A3C64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EAA2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ostatní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1ED6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EDE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5E9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70E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23</w:t>
            </w:r>
          </w:p>
        </w:tc>
        <w:tc>
          <w:tcPr>
            <w:tcW w:w="153" w:type="dxa"/>
            <w:vAlign w:val="center"/>
            <w:hideMark/>
          </w:tcPr>
          <w:p w14:paraId="3671B0D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904B953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B8DB7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tvorba fondů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8609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6 747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37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717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38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6 747</w:t>
            </w:r>
          </w:p>
        </w:tc>
        <w:tc>
          <w:tcPr>
            <w:tcW w:w="153" w:type="dxa"/>
            <w:vAlign w:val="center"/>
            <w:hideMark/>
          </w:tcPr>
          <w:p w14:paraId="2E901865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197E6E1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68ECC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členské příspěvky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E12CA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F5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2136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1AD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45</w:t>
            </w:r>
          </w:p>
        </w:tc>
        <w:tc>
          <w:tcPr>
            <w:tcW w:w="153" w:type="dxa"/>
            <w:vAlign w:val="center"/>
            <w:hideMark/>
          </w:tcPr>
          <w:p w14:paraId="331B83B1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32EECEFA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12DC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vnitropodnikové služby vč. režií projektů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769D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-21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334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190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000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325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7AC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494</w:t>
            </w:r>
          </w:p>
        </w:tc>
        <w:tc>
          <w:tcPr>
            <w:tcW w:w="153" w:type="dxa"/>
            <w:vAlign w:val="center"/>
            <w:hideMark/>
          </w:tcPr>
          <w:p w14:paraId="4D9A48FC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4AC661AF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72816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celouniverzitní náklady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9909B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23 920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887D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F8C1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D9A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23 920</w:t>
            </w:r>
          </w:p>
        </w:tc>
        <w:tc>
          <w:tcPr>
            <w:tcW w:w="153" w:type="dxa"/>
            <w:vAlign w:val="center"/>
            <w:hideMark/>
          </w:tcPr>
          <w:p w14:paraId="2053D2B0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8870DB9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9E55CF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Daň z příjmu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04EBAD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763BA3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7EC2C4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6B2DC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53" w:type="dxa"/>
            <w:vAlign w:val="center"/>
            <w:hideMark/>
          </w:tcPr>
          <w:p w14:paraId="0CC91068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196297AA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0261E91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Zisk z doplňkové činnosti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16F6889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A0A0AAA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E47ECC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2B2283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8528F84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53" w:type="dxa"/>
            <w:vAlign w:val="center"/>
            <w:hideMark/>
          </w:tcPr>
          <w:p w14:paraId="025887E9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6FB74E82" w14:textId="77777777" w:rsidTr="00D105A9">
        <w:trPr>
          <w:trHeight w:val="27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6611A11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Odpisy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631EFB2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4C53A5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D5BB15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1AEFDA5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65</w:t>
            </w:r>
          </w:p>
        </w:tc>
        <w:tc>
          <w:tcPr>
            <w:tcW w:w="153" w:type="dxa"/>
            <w:vAlign w:val="center"/>
            <w:hideMark/>
          </w:tcPr>
          <w:p w14:paraId="51456EC5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83" w:rsidRPr="002B2283" w14:paraId="0A7FA7D4" w14:textId="77777777" w:rsidTr="00D105A9">
        <w:trPr>
          <w:trHeight w:val="272"/>
        </w:trPr>
        <w:tc>
          <w:tcPr>
            <w:tcW w:w="400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64BD459" w14:textId="77777777" w:rsidR="002B2283" w:rsidRPr="002B2283" w:rsidRDefault="002B2283" w:rsidP="002B2283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61E55BE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84 930</w:t>
            </w:r>
          </w:p>
        </w:tc>
        <w:tc>
          <w:tcPr>
            <w:tcW w:w="12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4CC13B8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23 308</w:t>
            </w:r>
          </w:p>
        </w:tc>
        <w:tc>
          <w:tcPr>
            <w:tcW w:w="1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41D4E70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555</w:t>
            </w:r>
          </w:p>
        </w:tc>
        <w:tc>
          <w:tcPr>
            <w:tcW w:w="123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356FB4C" w14:textId="77777777" w:rsidR="002B2283" w:rsidRPr="002B2283" w:rsidRDefault="002B2283" w:rsidP="002B2283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2283">
              <w:rPr>
                <w:rFonts w:asciiTheme="minorHAnsi" w:hAnsiTheme="minorHAnsi" w:cstheme="minorHAnsi"/>
                <w:b/>
                <w:bCs/>
                <w:szCs w:val="22"/>
              </w:rPr>
              <w:t>108 793</w:t>
            </w:r>
          </w:p>
        </w:tc>
        <w:tc>
          <w:tcPr>
            <w:tcW w:w="153" w:type="dxa"/>
            <w:vAlign w:val="center"/>
            <w:hideMark/>
          </w:tcPr>
          <w:p w14:paraId="1AF37FEF" w14:textId="77777777" w:rsidR="002B2283" w:rsidRPr="002B2283" w:rsidRDefault="002B2283" w:rsidP="002B22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1D783D" w14:textId="399AA1D7" w:rsidR="00283937" w:rsidRDefault="00283937" w:rsidP="009A3C41"/>
    <w:p w14:paraId="68D66962" w14:textId="08AC2547" w:rsidR="00283937" w:rsidRDefault="00275A8B" w:rsidP="006E14D3">
      <w:pPr>
        <w:jc w:val="both"/>
      </w:pPr>
      <w:r>
        <w:lastRenderedPageBreak/>
        <w:t xml:space="preserve">Ve sloupci </w:t>
      </w:r>
      <w:r w:rsidR="006B4DD5">
        <w:t xml:space="preserve">s náklady z účelových akcí a projektů je patrný nárůst nákladů zejména z důvodu </w:t>
      </w:r>
      <w:r w:rsidR="008D6ACC">
        <w:t>využití zdrojů programu MŠMT na podp</w:t>
      </w:r>
      <w:r w:rsidR="00022B11">
        <w:t>o</w:t>
      </w:r>
      <w:r w:rsidR="008D6ACC">
        <w:t xml:space="preserve">ru </w:t>
      </w:r>
      <w:r w:rsidR="00712560">
        <w:t>navýšení počtu nelékařských zdravotnických profesí</w:t>
      </w:r>
      <w:r w:rsidR="00BC74FE">
        <w:t>, ze kterých byl nakoupen téměř všechen spotřební zdravotnický materiál, pomůcky, drobné modely a další vybavení, dále pak větší část energií a služeb Střední zdravotnické školy</w:t>
      </w:r>
      <w:r w:rsidR="006B4DD5">
        <w:t xml:space="preserve"> Pardubice</w:t>
      </w:r>
      <w:r w:rsidR="004E2733">
        <w:t xml:space="preserve"> a poměrná část tarifních mezd zaměstnanců fakulty. </w:t>
      </w:r>
      <w:r w:rsidR="00EF0BA7">
        <w:t xml:space="preserve">Z fakultních zdrojů </w:t>
      </w:r>
      <w:r w:rsidR="00AA305E">
        <w:t xml:space="preserve">(příspěvek MŠMT, prostředky na vědu a výzkum) bylo hrazeno 78,6 % osobních nákladů, většina nákladů </w:t>
      </w:r>
      <w:r w:rsidR="00027ADD">
        <w:t>na cestovné</w:t>
      </w:r>
      <w:r w:rsidR="00AA305E">
        <w:t xml:space="preserve"> </w:t>
      </w:r>
      <w:r w:rsidR="00AA305E" w:rsidRPr="00022B11">
        <w:t>a</w:t>
      </w:r>
      <w:r w:rsidR="00022B11">
        <w:t> </w:t>
      </w:r>
      <w:r w:rsidR="00AA305E" w:rsidRPr="00022B11">
        <w:t>celouniverzitní</w:t>
      </w:r>
      <w:r w:rsidR="00AA305E">
        <w:t xml:space="preserve"> náklady.</w:t>
      </w:r>
    </w:p>
    <w:p w14:paraId="145EE01F" w14:textId="5FC8D8FD" w:rsidR="00E9293F" w:rsidRDefault="00E9293F" w:rsidP="006E14D3">
      <w:pPr>
        <w:jc w:val="both"/>
      </w:pPr>
      <w:r>
        <w:t xml:space="preserve">Největší položkou </w:t>
      </w:r>
      <w:r w:rsidR="00E60D31">
        <w:t xml:space="preserve">v nákladech jsou osobní náklady (tvoří </w:t>
      </w:r>
      <w:r w:rsidR="00AD0AEB">
        <w:t>58,41 %</w:t>
      </w:r>
      <w:r w:rsidR="00E60D31">
        <w:t xml:space="preserve"> % </w:t>
      </w:r>
      <w:r w:rsidR="006E14D3">
        <w:t>celkových nákladů</w:t>
      </w:r>
      <w:r w:rsidR="00E60D31">
        <w:t xml:space="preserve"> fakulty). Druhou největší</w:t>
      </w:r>
      <w:r w:rsidR="00891106">
        <w:t xml:space="preserve"> položku tvoří celouniverzitní náklady (</w:t>
      </w:r>
      <w:r w:rsidR="00AD0AEB">
        <w:t>21,99</w:t>
      </w:r>
      <w:r w:rsidR="00891106">
        <w:t xml:space="preserve"> %).</w:t>
      </w:r>
      <w:r w:rsidR="006E14D3">
        <w:t xml:space="preserve"> Náklady na energie </w:t>
      </w:r>
      <w:r w:rsidR="005C6CE8">
        <w:t>se proti roku 202</w:t>
      </w:r>
      <w:r w:rsidR="00AD0AEB">
        <w:t>4</w:t>
      </w:r>
      <w:r w:rsidR="005C6CE8">
        <w:t xml:space="preserve"> zvýšily</w:t>
      </w:r>
      <w:r w:rsidR="006E14D3">
        <w:t xml:space="preserve"> a</w:t>
      </w:r>
      <w:r w:rsidR="007115E6">
        <w:t> </w:t>
      </w:r>
      <w:r w:rsidR="006E14D3">
        <w:t xml:space="preserve">tvoří </w:t>
      </w:r>
      <w:r w:rsidR="00AD0AEB">
        <w:t>3,15</w:t>
      </w:r>
      <w:r w:rsidR="005C6CE8">
        <w:t xml:space="preserve"> %</w:t>
      </w:r>
      <w:r w:rsidR="006E14D3">
        <w:t xml:space="preserve"> celkových nákladů. </w:t>
      </w:r>
    </w:p>
    <w:p w14:paraId="62A78075" w14:textId="6E7D993E" w:rsidR="006E14D3" w:rsidRDefault="006E14D3" w:rsidP="006E14D3">
      <w:pPr>
        <w:jc w:val="both"/>
      </w:pPr>
      <w:r>
        <w:t>Procentuální zastoupení jednotlivých položek neinvestičních nákladů znázorňuje následující graf na obrázku 3.</w:t>
      </w:r>
    </w:p>
    <w:p w14:paraId="636CD6CF" w14:textId="3B41B18D" w:rsidR="006E14D3" w:rsidRDefault="006E14D3" w:rsidP="009A3C41">
      <w:pPr>
        <w:rPr>
          <w:noProof/>
        </w:rPr>
      </w:pPr>
    </w:p>
    <w:p w14:paraId="71A4115C" w14:textId="10640CA5" w:rsidR="005C6CE8" w:rsidRDefault="00672261" w:rsidP="009A3C41">
      <w:r>
        <w:rPr>
          <w:noProof/>
        </w:rPr>
        <w:drawing>
          <wp:inline distT="0" distB="0" distL="0" distR="0" wp14:anchorId="6945C3F2" wp14:editId="609B1A51">
            <wp:extent cx="5760720" cy="3138170"/>
            <wp:effectExtent l="0" t="0" r="11430" b="5080"/>
            <wp:docPr id="135821446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874EED" w14:textId="536D4695" w:rsidR="006E14D3" w:rsidRDefault="006E14D3" w:rsidP="006E14D3">
      <w:pPr>
        <w:jc w:val="center"/>
        <w:rPr>
          <w:b/>
          <w:bCs/>
        </w:rPr>
      </w:pPr>
      <w:r w:rsidRPr="006E14D3">
        <w:rPr>
          <w:b/>
          <w:bCs/>
        </w:rPr>
        <w:t>Obrázek 3 – Druhové členění nákladů</w:t>
      </w:r>
    </w:p>
    <w:p w14:paraId="22399813" w14:textId="168BD17E" w:rsidR="006E14D3" w:rsidRDefault="006E14D3" w:rsidP="006E14D3">
      <w:pPr>
        <w:jc w:val="center"/>
        <w:rPr>
          <w:b/>
          <w:bCs/>
        </w:rPr>
      </w:pPr>
    </w:p>
    <w:p w14:paraId="0CF09848" w14:textId="2243A521" w:rsidR="006E14D3" w:rsidRDefault="006E14D3" w:rsidP="006E14D3">
      <w:pPr>
        <w:pStyle w:val="Nadpis2"/>
      </w:pPr>
      <w:bookmarkStart w:id="7" w:name="_Toc162011995"/>
      <w:r>
        <w:t xml:space="preserve">2. 3 </w:t>
      </w:r>
      <w:r w:rsidRPr="006E14D3">
        <w:t>Druhové členění nákladů na vědu a výzkum</w:t>
      </w:r>
      <w:bookmarkEnd w:id="7"/>
    </w:p>
    <w:p w14:paraId="182295F1" w14:textId="01DF05D0" w:rsidR="006E14D3" w:rsidRDefault="006E14D3" w:rsidP="006E14D3"/>
    <w:p w14:paraId="63EEA612" w14:textId="44A94A4A" w:rsidR="006E14D3" w:rsidRDefault="006E14D3" w:rsidP="003D0C4B">
      <w:pPr>
        <w:jc w:val="both"/>
      </w:pPr>
      <w:r>
        <w:t xml:space="preserve">Prostředky fakulty </w:t>
      </w:r>
      <w:r w:rsidR="004E78DA">
        <w:t>na vědu a výzkum jsou tvořeny ze zdrojů dlouhodobého koncepčního rozvoje výzkumné organizace</w:t>
      </w:r>
      <w:r w:rsidR="00672261">
        <w:t xml:space="preserve"> (</w:t>
      </w:r>
      <w:r w:rsidR="004E78DA">
        <w:t>dále jen DK RVO</w:t>
      </w:r>
      <w:r w:rsidR="00672261">
        <w:t>)</w:t>
      </w:r>
      <w:r w:rsidR="00C846E4">
        <w:t>, které představují institucionální podporu</w:t>
      </w:r>
      <w:r w:rsidR="004E78DA">
        <w:t>, z projektu studentské grantové soutěže (účelová podpora) a z vědeckovýzkumných projektů financovaných z externích zdrojů</w:t>
      </w:r>
      <w:r w:rsidR="007B072B">
        <w:t xml:space="preserve"> (v </w:t>
      </w:r>
      <w:r w:rsidR="00AD770F">
        <w:t xml:space="preserve">září </w:t>
      </w:r>
      <w:r w:rsidR="007B072B">
        <w:t>202</w:t>
      </w:r>
      <w:r w:rsidR="00C846E4">
        <w:t>5</w:t>
      </w:r>
      <w:r w:rsidR="007B072B">
        <w:t xml:space="preserve"> </w:t>
      </w:r>
      <w:r w:rsidR="00AD770F">
        <w:t>byla zahájena realizace dvou projektů</w:t>
      </w:r>
      <w:r w:rsidR="00C846E4">
        <w:t xml:space="preserve"> z vý</w:t>
      </w:r>
      <w:r w:rsidR="00022B11">
        <w:t>zv</w:t>
      </w:r>
      <w:r w:rsidR="00C846E4">
        <w:t>y TAČR Sigma</w:t>
      </w:r>
      <w:r w:rsidR="006B594C">
        <w:t>).</w:t>
      </w:r>
    </w:p>
    <w:p w14:paraId="78BEB5DB" w14:textId="5C507C03" w:rsidR="004E78DA" w:rsidRDefault="004E78DA" w:rsidP="003D0C4B">
      <w:pPr>
        <w:jc w:val="both"/>
      </w:pPr>
      <w:r>
        <w:t xml:space="preserve">Institucionální i účelová podpora jsou poskytovány na základě dosažených výsledků </w:t>
      </w:r>
      <w:r w:rsidRPr="004E78DA">
        <w:t>podle § 3 odst. 3 písm. a) zákona č. 130/2009 Sb. o podpoře výzkumu, experimentálního vývoje a inovací z veřejných prostředků</w:t>
      </w:r>
      <w:r>
        <w:t xml:space="preserve">. </w:t>
      </w:r>
    </w:p>
    <w:p w14:paraId="5FC0551C" w14:textId="6DB73E80" w:rsidR="004E78DA" w:rsidRDefault="004E78DA" w:rsidP="003D0C4B">
      <w:pPr>
        <w:jc w:val="both"/>
      </w:pPr>
      <w:r>
        <w:t>Druhové členění nákladů dle jednotlivých zdrojů znázorňuje tabulka 5</w:t>
      </w:r>
      <w:r w:rsidR="006B3F6E">
        <w:t xml:space="preserve"> na následující straně</w:t>
      </w:r>
      <w:r>
        <w:t>.</w:t>
      </w:r>
    </w:p>
    <w:p w14:paraId="7F0F22CF" w14:textId="7A88A3E8" w:rsidR="006B3F6E" w:rsidRDefault="006B3F6E">
      <w:pPr>
        <w:spacing w:after="160" w:line="259" w:lineRule="auto"/>
      </w:pPr>
      <w:r>
        <w:br w:type="page"/>
      </w:r>
    </w:p>
    <w:p w14:paraId="4D27A2F2" w14:textId="5E0E0910" w:rsidR="004E78DA" w:rsidRPr="004D22A3" w:rsidRDefault="004E78DA" w:rsidP="006E14D3">
      <w:pPr>
        <w:rPr>
          <w:rStyle w:val="Nzevknihy"/>
        </w:rPr>
      </w:pPr>
      <w:r w:rsidRPr="004D22A3">
        <w:rPr>
          <w:rStyle w:val="Nzevknihy"/>
        </w:rPr>
        <w:lastRenderedPageBreak/>
        <w:t>Tabulka 5 Druhové členění nákladů na vědu a výzkum</w:t>
      </w:r>
    </w:p>
    <w:tbl>
      <w:tblPr>
        <w:tblW w:w="9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7"/>
        <w:gridCol w:w="1184"/>
        <w:gridCol w:w="1182"/>
        <w:gridCol w:w="1185"/>
        <w:gridCol w:w="1186"/>
        <w:gridCol w:w="149"/>
      </w:tblGrid>
      <w:tr w:rsidR="00720906" w:rsidRPr="00720906" w14:paraId="6D228FCB" w14:textId="77777777" w:rsidTr="00720906">
        <w:trPr>
          <w:gridAfter w:val="1"/>
          <w:wAfter w:w="149" w:type="dxa"/>
          <w:trHeight w:val="450"/>
        </w:trPr>
        <w:tc>
          <w:tcPr>
            <w:tcW w:w="430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F192F7F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Neinvestiční náklady (v tis. Kč)</w:t>
            </w:r>
          </w:p>
        </w:tc>
        <w:tc>
          <w:tcPr>
            <w:tcW w:w="118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43FFB45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DK RVO</w:t>
            </w:r>
          </w:p>
        </w:tc>
        <w:tc>
          <w:tcPr>
            <w:tcW w:w="118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59761A2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SGS</w:t>
            </w:r>
          </w:p>
        </w:tc>
        <w:tc>
          <w:tcPr>
            <w:tcW w:w="118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B8935FB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TAČR Sigma</w:t>
            </w:r>
          </w:p>
        </w:tc>
        <w:tc>
          <w:tcPr>
            <w:tcW w:w="118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9E8A583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Celkem</w:t>
            </w:r>
          </w:p>
        </w:tc>
      </w:tr>
      <w:tr w:rsidR="00720906" w:rsidRPr="00720906" w14:paraId="6A9ADB31" w14:textId="77777777" w:rsidTr="00720906">
        <w:trPr>
          <w:trHeight w:val="218"/>
        </w:trPr>
        <w:tc>
          <w:tcPr>
            <w:tcW w:w="430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F34CAA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10194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367337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EEE6C3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18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17A240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622C" w14:textId="77777777" w:rsidR="00720906" w:rsidRPr="00720906" w:rsidRDefault="00720906" w:rsidP="00720906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720906" w:rsidRPr="00720906" w14:paraId="5B10DF9E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1D7E342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Materiálové náklady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236298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2E2FB2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8C8DC7B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CBF3D1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153</w:t>
            </w:r>
          </w:p>
        </w:tc>
        <w:tc>
          <w:tcPr>
            <w:tcW w:w="149" w:type="dxa"/>
            <w:vAlign w:val="center"/>
            <w:hideMark/>
          </w:tcPr>
          <w:p w14:paraId="4F967B9C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12CD984E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A955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materiál všeobecný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022A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C86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9AF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D7A2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35</w:t>
            </w:r>
          </w:p>
        </w:tc>
        <w:tc>
          <w:tcPr>
            <w:tcW w:w="149" w:type="dxa"/>
            <w:vAlign w:val="center"/>
            <w:hideMark/>
          </w:tcPr>
          <w:p w14:paraId="0C9031A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3480C93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AA7F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literatura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B2E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85E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EE2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EB9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15</w:t>
            </w:r>
          </w:p>
        </w:tc>
        <w:tc>
          <w:tcPr>
            <w:tcW w:w="149" w:type="dxa"/>
            <w:vAlign w:val="center"/>
            <w:hideMark/>
          </w:tcPr>
          <w:p w14:paraId="5214CEA2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19AE050E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71035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drobný hmotný majetek  80 000 Kč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B2E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E74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0C3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9FF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80</w:t>
            </w:r>
          </w:p>
        </w:tc>
        <w:tc>
          <w:tcPr>
            <w:tcW w:w="149" w:type="dxa"/>
            <w:vAlign w:val="center"/>
            <w:hideMark/>
          </w:tcPr>
          <w:p w14:paraId="046E61E3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42C22ED8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404976B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Energie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F31B99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1A9A7E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49B1ED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DFBC4D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1EBC8EE2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D049E17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E8BFDE5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Opravy a udržování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98037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1CA052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E34C55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982A2F2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13B1F4AF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1AD33F93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5319AE5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Cestovné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B10020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02BBC2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8DD57AB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E79038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327</w:t>
            </w:r>
          </w:p>
        </w:tc>
        <w:tc>
          <w:tcPr>
            <w:tcW w:w="149" w:type="dxa"/>
            <w:vAlign w:val="center"/>
            <w:hideMark/>
          </w:tcPr>
          <w:p w14:paraId="0388312D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60C43305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B508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 xml:space="preserve">tuzemské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3FCA7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466FC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39E7A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AF6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107</w:t>
            </w:r>
          </w:p>
        </w:tc>
        <w:tc>
          <w:tcPr>
            <w:tcW w:w="149" w:type="dxa"/>
            <w:vAlign w:val="center"/>
            <w:hideMark/>
          </w:tcPr>
          <w:p w14:paraId="03EE1C66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6B1C09CB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628F9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zahraniční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BEB05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8022A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BDE56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F1D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168</w:t>
            </w:r>
          </w:p>
        </w:tc>
        <w:tc>
          <w:tcPr>
            <w:tcW w:w="149" w:type="dxa"/>
            <w:vAlign w:val="center"/>
            <w:hideMark/>
          </w:tcPr>
          <w:p w14:paraId="3DEA932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59CD0662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0ADA7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 xml:space="preserve">ostatní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02B1B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688F5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50297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95D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52</w:t>
            </w:r>
          </w:p>
        </w:tc>
        <w:tc>
          <w:tcPr>
            <w:tcW w:w="149" w:type="dxa"/>
            <w:vAlign w:val="center"/>
            <w:hideMark/>
          </w:tcPr>
          <w:p w14:paraId="55A9451B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61FFE6C3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97AB4D2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Náklady na reprezentaci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377A03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F4B876B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F9721B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3F5171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23</w:t>
            </w:r>
          </w:p>
        </w:tc>
        <w:tc>
          <w:tcPr>
            <w:tcW w:w="149" w:type="dxa"/>
            <w:vAlign w:val="center"/>
            <w:hideMark/>
          </w:tcPr>
          <w:p w14:paraId="5C847EC3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C4DA339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144C492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Služby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635E6F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CE94D1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40602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9B4788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379</w:t>
            </w:r>
          </w:p>
        </w:tc>
        <w:tc>
          <w:tcPr>
            <w:tcW w:w="149" w:type="dxa"/>
            <w:vAlign w:val="center"/>
            <w:hideMark/>
          </w:tcPr>
          <w:p w14:paraId="3B7FAE4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355F98A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9BD9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služby spojů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169B0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45B15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B1E62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FD7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41C6D13D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5627F7E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2D796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vložné, školení, semináře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254EAA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137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4799F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E95F4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37DB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141</w:t>
            </w:r>
          </w:p>
        </w:tc>
        <w:tc>
          <w:tcPr>
            <w:tcW w:w="149" w:type="dxa"/>
            <w:vAlign w:val="center"/>
            <w:hideMark/>
          </w:tcPr>
          <w:p w14:paraId="2AE09936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65517E27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B434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software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2B07E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DB210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8EE9E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0D0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9</w:t>
            </w:r>
          </w:p>
        </w:tc>
        <w:tc>
          <w:tcPr>
            <w:tcW w:w="149" w:type="dxa"/>
            <w:vAlign w:val="center"/>
            <w:hideMark/>
          </w:tcPr>
          <w:p w14:paraId="1FF06B4F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5885205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90D0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inzerce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FD2B9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7E2A4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27EDD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E5A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02056F3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5E163CE1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F56C4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překlady, statistiky, publikační poplatky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0A2F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2826F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6B674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278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150</w:t>
            </w:r>
          </w:p>
        </w:tc>
        <w:tc>
          <w:tcPr>
            <w:tcW w:w="149" w:type="dxa"/>
            <w:vAlign w:val="center"/>
            <w:hideMark/>
          </w:tcPr>
          <w:p w14:paraId="56643A1D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EBDDCF9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A757B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patenty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E9BF2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83D3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30A02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9F3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10</w:t>
            </w:r>
          </w:p>
        </w:tc>
        <w:tc>
          <w:tcPr>
            <w:tcW w:w="149" w:type="dxa"/>
            <w:vAlign w:val="center"/>
            <w:hideMark/>
          </w:tcPr>
          <w:p w14:paraId="6552A62C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729783E4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30104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členské poplatky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DAD802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9DB19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B31192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09E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</w:t>
            </w:r>
          </w:p>
        </w:tc>
        <w:tc>
          <w:tcPr>
            <w:tcW w:w="149" w:type="dxa"/>
            <w:vAlign w:val="center"/>
            <w:hideMark/>
          </w:tcPr>
          <w:p w14:paraId="29A679B3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50A24B30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C70D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služby ostatní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00161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4392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172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ED5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26</w:t>
            </w:r>
          </w:p>
        </w:tc>
        <w:tc>
          <w:tcPr>
            <w:tcW w:w="149" w:type="dxa"/>
            <w:vAlign w:val="center"/>
            <w:hideMark/>
          </w:tcPr>
          <w:p w14:paraId="4D51A7E1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6389B8C2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D2B5237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Osobní náklady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1FE09C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1 974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9C9220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42B5C7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E87C7C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2 136</w:t>
            </w:r>
          </w:p>
        </w:tc>
        <w:tc>
          <w:tcPr>
            <w:tcW w:w="149" w:type="dxa"/>
            <w:vAlign w:val="center"/>
            <w:hideMark/>
          </w:tcPr>
          <w:p w14:paraId="0A07AD22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5A61CC57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C84A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mzdy včetně odměn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ED823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1 474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AA69A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A4F3E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C26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1 491</w:t>
            </w:r>
          </w:p>
        </w:tc>
        <w:tc>
          <w:tcPr>
            <w:tcW w:w="149" w:type="dxa"/>
            <w:vAlign w:val="center"/>
            <w:hideMark/>
          </w:tcPr>
          <w:p w14:paraId="2FE40A09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D1D187C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13F9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DPP, DPČ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B026A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C79D6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EF206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3C0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439D85A6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26F28A6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10518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zákonné zdravotní a sociální pojištění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6D3E7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021F69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7C0A97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F7A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504</w:t>
            </w:r>
          </w:p>
        </w:tc>
        <w:tc>
          <w:tcPr>
            <w:tcW w:w="149" w:type="dxa"/>
            <w:vAlign w:val="center"/>
            <w:hideMark/>
          </w:tcPr>
          <w:p w14:paraId="6760AA39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348CBB05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16E8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zákonné sociální náklady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B6C1B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390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21A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C26E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</w:t>
            </w:r>
          </w:p>
        </w:tc>
        <w:tc>
          <w:tcPr>
            <w:tcW w:w="149" w:type="dxa"/>
            <w:vAlign w:val="center"/>
            <w:hideMark/>
          </w:tcPr>
          <w:p w14:paraId="3984BE7E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3F581120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5EF8117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Jiné ostatní náklady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03813C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25B19D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137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BFA826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4697F9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228</w:t>
            </w:r>
          </w:p>
        </w:tc>
        <w:tc>
          <w:tcPr>
            <w:tcW w:w="149" w:type="dxa"/>
            <w:vAlign w:val="center"/>
            <w:hideMark/>
          </w:tcPr>
          <w:p w14:paraId="0E5072FD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48FB6ECD" w14:textId="77777777" w:rsidTr="00720906">
        <w:trPr>
          <w:trHeight w:val="299"/>
        </w:trPr>
        <w:tc>
          <w:tcPr>
            <w:tcW w:w="4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E1D3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stipendia SGS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05366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0472E5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85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B8897F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84F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85</w:t>
            </w:r>
          </w:p>
        </w:tc>
        <w:tc>
          <w:tcPr>
            <w:tcW w:w="149" w:type="dxa"/>
            <w:vAlign w:val="center"/>
            <w:hideMark/>
          </w:tcPr>
          <w:p w14:paraId="1E1C9135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2F5D47C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926D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kurzové ztráty, bankovní poplatky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BC454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BA7B0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0D907A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A49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75F2E98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F3DC8DB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55704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smlouvy (mentoring, posudky,…)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47F04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D88FC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10BEE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763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53</w:t>
            </w:r>
          </w:p>
        </w:tc>
        <w:tc>
          <w:tcPr>
            <w:tcW w:w="149" w:type="dxa"/>
            <w:vAlign w:val="center"/>
            <w:hideMark/>
          </w:tcPr>
          <w:p w14:paraId="7A5AFA35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3852937E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F27F0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tvorba fondů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BC0CB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416D60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0DD6F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CF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05AF7CC7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19D56AC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2143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vnitropodnikové služby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95F50A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E6311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F6ED03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973B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14:paraId="0889981D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2292E082" w14:textId="77777777" w:rsidTr="00720906">
        <w:trPr>
          <w:trHeight w:val="299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B890" w14:textId="77777777" w:rsidR="00720906" w:rsidRPr="00720906" w:rsidRDefault="00720906" w:rsidP="00720906">
            <w:pPr>
              <w:spacing w:line="240" w:lineRule="auto"/>
              <w:ind w:firstLineChars="100" w:firstLine="220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vnitropodnikové náklady - režie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3F2901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314EA26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678508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337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720906">
              <w:rPr>
                <w:rFonts w:cs="Calibri"/>
                <w:szCs w:val="22"/>
              </w:rPr>
              <w:t>59</w:t>
            </w:r>
          </w:p>
        </w:tc>
        <w:tc>
          <w:tcPr>
            <w:tcW w:w="149" w:type="dxa"/>
            <w:vAlign w:val="center"/>
            <w:hideMark/>
          </w:tcPr>
          <w:p w14:paraId="2C2F0300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906" w:rsidRPr="00720906" w14:paraId="01644563" w14:textId="77777777" w:rsidTr="00720906">
        <w:trPr>
          <w:trHeight w:val="299"/>
        </w:trPr>
        <w:tc>
          <w:tcPr>
            <w:tcW w:w="430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7BB95F8" w14:textId="77777777" w:rsidR="00720906" w:rsidRPr="00720906" w:rsidRDefault="00720906" w:rsidP="00720906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275348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2 636</w:t>
            </w:r>
          </w:p>
        </w:tc>
        <w:tc>
          <w:tcPr>
            <w:tcW w:w="118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56C9BAD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380</w:t>
            </w:r>
          </w:p>
        </w:tc>
        <w:tc>
          <w:tcPr>
            <w:tcW w:w="11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29CE8BC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230</w:t>
            </w:r>
          </w:p>
        </w:tc>
        <w:tc>
          <w:tcPr>
            <w:tcW w:w="11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8992034" w14:textId="77777777" w:rsidR="00720906" w:rsidRPr="00720906" w:rsidRDefault="00720906" w:rsidP="00720906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720906">
              <w:rPr>
                <w:rFonts w:cs="Calibri"/>
                <w:b/>
                <w:bCs/>
                <w:szCs w:val="22"/>
              </w:rPr>
              <w:t>3 246</w:t>
            </w:r>
          </w:p>
        </w:tc>
        <w:tc>
          <w:tcPr>
            <w:tcW w:w="149" w:type="dxa"/>
            <w:vAlign w:val="center"/>
            <w:hideMark/>
          </w:tcPr>
          <w:p w14:paraId="057555AB" w14:textId="77777777" w:rsidR="00720906" w:rsidRPr="00720906" w:rsidRDefault="00720906" w:rsidP="007209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B210FE" w14:textId="71AEBBDC" w:rsidR="004E78DA" w:rsidRDefault="004E78DA" w:rsidP="006E14D3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E5043">
        <w:instrText xml:space="preserve">Excel.Sheet.12 "D:\\Data\\hath3393\\OneDrive - Univerzita Pardubice\\Plocha\\Tajemník\\Výroční zpráva\\2022\\hospodaření\\výroční zpráva 2022 - podklady.xlsx" "VaV 2022!R1C1:R33C5" </w:instrText>
      </w:r>
      <w:r>
        <w:instrText xml:space="preserve">\a \f 4 \h  \* MERGEFORMAT </w:instrText>
      </w:r>
      <w:r>
        <w:fldChar w:fldCharType="separate"/>
      </w:r>
    </w:p>
    <w:p w14:paraId="5468A4F5" w14:textId="5165A40A" w:rsidR="007B072B" w:rsidRDefault="004E78DA" w:rsidP="00DC486E">
      <w:pPr>
        <w:jc w:val="both"/>
      </w:pPr>
      <w:r>
        <w:fldChar w:fldCharType="end"/>
      </w:r>
      <w:r>
        <w:t xml:space="preserve">Prostředky </w:t>
      </w:r>
      <w:r w:rsidR="007B072B">
        <w:t>z</w:t>
      </w:r>
      <w:r>
        <w:t xml:space="preserve"> DK RVO byly </w:t>
      </w:r>
      <w:r w:rsidR="007B072B">
        <w:t>v roce 202</w:t>
      </w:r>
      <w:r w:rsidR="00E41D56">
        <w:t>5</w:t>
      </w:r>
      <w:r w:rsidR="007B072B">
        <w:t xml:space="preserve"> vyčerpány v plné výši. Částečně byly využity na realizaci projektů interní grantové soutěže (</w:t>
      </w:r>
      <w:r w:rsidR="007E51AB">
        <w:t xml:space="preserve">388 </w:t>
      </w:r>
      <w:r w:rsidR="007B072B">
        <w:t>tis. Kč), na výplatu poměrné části m</w:t>
      </w:r>
      <w:r w:rsidR="00522383">
        <w:t>ezd</w:t>
      </w:r>
      <w:r w:rsidR="007B072B">
        <w:t xml:space="preserve"> akademických pracovníků jako podpora jejich vědeckovýzkumné činnosti (</w:t>
      </w:r>
      <w:r w:rsidR="00C157E1">
        <w:t>1 379</w:t>
      </w:r>
      <w:r w:rsidR="00512B5F">
        <w:t xml:space="preserve"> </w:t>
      </w:r>
      <w:r w:rsidR="007B072B">
        <w:t>tis. Kč</w:t>
      </w:r>
      <w:r w:rsidR="008A1D92">
        <w:t>)</w:t>
      </w:r>
      <w:r w:rsidR="007B072B">
        <w:t xml:space="preserve">. </w:t>
      </w:r>
      <w:r w:rsidR="008A1D92">
        <w:t xml:space="preserve">Částka </w:t>
      </w:r>
      <w:r w:rsidR="00F0482E">
        <w:t>595</w:t>
      </w:r>
      <w:r w:rsidR="004A0526">
        <w:t xml:space="preserve"> tis. </w:t>
      </w:r>
      <w:r w:rsidR="007B072B">
        <w:t xml:space="preserve">Kč byla uvolněna na odměny dle prémiového řádu a zbývající prostředky byly ve formě služeb či cestovného využity na aktivity akademických pracovníků spojených s jejich odborným vzděláváním a vědeckovýzkumnou činností. </w:t>
      </w:r>
    </w:p>
    <w:p w14:paraId="19F366F7" w14:textId="101F44D6" w:rsidR="004E78DA" w:rsidRDefault="007B072B" w:rsidP="00DC486E">
      <w:pPr>
        <w:jc w:val="both"/>
      </w:pPr>
      <w:r>
        <w:t xml:space="preserve">U </w:t>
      </w:r>
      <w:r w:rsidR="00B57115">
        <w:t>jednoho realizovaného projektu</w:t>
      </w:r>
      <w:r>
        <w:t xml:space="preserve"> studentské grantové soutěže </w:t>
      </w:r>
      <w:r w:rsidR="0015506B">
        <w:t>proběhlo čerpání dle plánovaného rozpočtu</w:t>
      </w:r>
      <w:r w:rsidR="00BF41DD">
        <w:t xml:space="preserve"> a prostředky byly vyčerpány v plné výši</w:t>
      </w:r>
      <w:r w:rsidR="0015506B">
        <w:t>.</w:t>
      </w:r>
    </w:p>
    <w:p w14:paraId="1AC71A77" w14:textId="68EA91D2" w:rsidR="00B57115" w:rsidRDefault="00B57115" w:rsidP="00DC486E">
      <w:pPr>
        <w:jc w:val="both"/>
      </w:pPr>
      <w:r>
        <w:lastRenderedPageBreak/>
        <w:t xml:space="preserve">Prostředky na zajištění realizace </w:t>
      </w:r>
      <w:r w:rsidR="008E3B65">
        <w:t xml:space="preserve">dvou projektů z projektových výzev TAČR Sigma byly čerpány dle plánovaného rozpočtu primárně na vytvoření business plánu, úhradu osobních nákladů členů odborného týmu a nákup </w:t>
      </w:r>
      <w:r w:rsidR="00C666D8">
        <w:t>zdravotnického materiálu potřebného pro realizaci projektu.</w:t>
      </w:r>
    </w:p>
    <w:p w14:paraId="25552649" w14:textId="076F97BB" w:rsidR="00FC3B7A" w:rsidRDefault="00FC3B7A" w:rsidP="00DC486E">
      <w:pPr>
        <w:spacing w:after="160" w:line="259" w:lineRule="auto"/>
        <w:jc w:val="both"/>
      </w:pPr>
      <w:r>
        <w:br w:type="page"/>
      </w:r>
    </w:p>
    <w:p w14:paraId="5E7D67F3" w14:textId="46CEC6C4" w:rsidR="003D0C4B" w:rsidRPr="004C3859" w:rsidRDefault="004C3859" w:rsidP="004C3859">
      <w:pPr>
        <w:pStyle w:val="Nadpis1"/>
        <w:numPr>
          <w:ilvl w:val="0"/>
          <w:numId w:val="0"/>
        </w:numPr>
      </w:pPr>
      <w:bookmarkStart w:id="8" w:name="_Toc162011996"/>
      <w:r>
        <w:lastRenderedPageBreak/>
        <w:t xml:space="preserve">3. </w:t>
      </w:r>
      <w:r w:rsidR="003D0C4B" w:rsidRPr="004C3859">
        <w:t>Hospodářský výsledek</w:t>
      </w:r>
      <w:bookmarkEnd w:id="8"/>
    </w:p>
    <w:p w14:paraId="2149CD6C" w14:textId="2077E6C5" w:rsidR="003D0C4B" w:rsidRDefault="003D0C4B" w:rsidP="004C3859">
      <w:pPr>
        <w:jc w:val="both"/>
      </w:pPr>
      <w:r>
        <w:t>Fakulta v roce 202</w:t>
      </w:r>
      <w:r w:rsidR="00C666D8">
        <w:t>5</w:t>
      </w:r>
      <w:r>
        <w:t xml:space="preserve"> hospodařila s kladným hospodářským výsledkem v celkové výši </w:t>
      </w:r>
      <w:r w:rsidR="000865D8">
        <w:t>1 261</w:t>
      </w:r>
      <w:r w:rsidR="009654C5">
        <w:t xml:space="preserve"> </w:t>
      </w:r>
      <w:r w:rsidR="004C3859">
        <w:t>tis. Kč.</w:t>
      </w:r>
      <w:r w:rsidR="00F21A56">
        <w:t xml:space="preserve"> </w:t>
      </w:r>
      <w:r w:rsidR="005A3D83">
        <w:t>Jedná se o kladný hospodářský výsledek</w:t>
      </w:r>
      <w:r w:rsidR="00FC3D01">
        <w:t xml:space="preserve"> vytvořený ze zisku kalkulovaného pro kurzy celoživotního vzdělávání a doplňkové činnosti</w:t>
      </w:r>
      <w:r w:rsidR="00421F0D">
        <w:t xml:space="preserve"> a z výnosů z ostatní činnosti</w:t>
      </w:r>
      <w:r w:rsidR="004C3859">
        <w:t>.</w:t>
      </w:r>
      <w:r w:rsidR="00011C10">
        <w:t xml:space="preserve"> </w:t>
      </w:r>
      <w:r w:rsidR="004C3859">
        <w:t>Tvorba zisku je znázorněna v tabulce 6.</w:t>
      </w:r>
    </w:p>
    <w:p w14:paraId="60713384" w14:textId="71D232AE" w:rsidR="004C3859" w:rsidRDefault="004C3859" w:rsidP="004C3859">
      <w:pPr>
        <w:jc w:val="both"/>
      </w:pPr>
    </w:p>
    <w:p w14:paraId="27EF3459" w14:textId="18E7D74B" w:rsidR="004C3859" w:rsidRPr="004D22A3" w:rsidRDefault="004C3859" w:rsidP="004C3859">
      <w:pPr>
        <w:jc w:val="both"/>
        <w:rPr>
          <w:rStyle w:val="Nzevknihy"/>
        </w:rPr>
      </w:pPr>
      <w:r w:rsidRPr="004D22A3">
        <w:rPr>
          <w:rStyle w:val="Nzevknihy"/>
        </w:rPr>
        <w:t>Tabulka 6 Hospodářský výsledek 202</w:t>
      </w:r>
      <w:r w:rsidR="00B30E66">
        <w:rPr>
          <w:rStyle w:val="Nzevknihy"/>
        </w:rPr>
        <w:t>5</w:t>
      </w:r>
    </w:p>
    <w:tbl>
      <w:tblPr>
        <w:tblW w:w="9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3"/>
        <w:gridCol w:w="1726"/>
        <w:gridCol w:w="1726"/>
        <w:gridCol w:w="1726"/>
      </w:tblGrid>
      <w:tr w:rsidR="0070090A" w:rsidRPr="0070090A" w14:paraId="130FDCD5" w14:textId="77777777" w:rsidTr="0070090A">
        <w:trPr>
          <w:trHeight w:val="707"/>
        </w:trPr>
        <w:tc>
          <w:tcPr>
            <w:tcW w:w="39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40F5D026" w14:textId="77777777" w:rsidR="0070090A" w:rsidRPr="0070090A" w:rsidRDefault="0070090A" w:rsidP="0070090A">
            <w:pPr>
              <w:spacing w:line="240" w:lineRule="auto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Rok 2025 (v tis. Kč)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313F2131" w14:textId="77777777" w:rsidR="0070090A" w:rsidRPr="0070090A" w:rsidRDefault="0070090A" w:rsidP="0070090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Výnosy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DE9110B" w14:textId="77777777" w:rsidR="0070090A" w:rsidRPr="0070090A" w:rsidRDefault="0070090A" w:rsidP="0070090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Náklady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513FAE55" w14:textId="77777777" w:rsidR="0070090A" w:rsidRPr="0070090A" w:rsidRDefault="0070090A" w:rsidP="0070090A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Hospodářský výsledek</w:t>
            </w:r>
          </w:p>
        </w:tc>
      </w:tr>
      <w:tr w:rsidR="0070090A" w:rsidRPr="0070090A" w14:paraId="4845CC3C" w14:textId="77777777" w:rsidTr="0070090A">
        <w:trPr>
          <w:trHeight w:val="337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84B5" w14:textId="77777777" w:rsidR="0070090A" w:rsidRPr="0070090A" w:rsidRDefault="0070090A" w:rsidP="0070090A">
            <w:pPr>
              <w:spacing w:line="240" w:lineRule="auto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Vzdělávací činnost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0FD5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100 460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56CA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100 460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5940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70090A" w:rsidRPr="0070090A" w14:paraId="2ED0AAA1" w14:textId="77777777" w:rsidTr="0070090A">
        <w:trPr>
          <w:trHeight w:val="323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E76C" w14:textId="77777777" w:rsidR="0070090A" w:rsidRPr="0070090A" w:rsidRDefault="0070090A" w:rsidP="0070090A">
            <w:pPr>
              <w:spacing w:line="240" w:lineRule="auto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Věda a výzkum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FAF8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3 016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C2AE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3 016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44BC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70090A" w:rsidRPr="0070090A" w14:paraId="5963E1C6" w14:textId="77777777" w:rsidTr="0070090A">
        <w:trPr>
          <w:trHeight w:val="323"/>
        </w:trPr>
        <w:tc>
          <w:tcPr>
            <w:tcW w:w="3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E9D29" w14:textId="4953B5AC" w:rsidR="0070090A" w:rsidRPr="0070090A" w:rsidRDefault="0070090A" w:rsidP="0070090A">
            <w:pPr>
              <w:spacing w:line="240" w:lineRule="auto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 xml:space="preserve">Ostatní činnosti (CŽV, </w:t>
            </w:r>
            <w:r>
              <w:rPr>
                <w:rFonts w:cs="Calibri"/>
                <w:color w:val="000000"/>
                <w:szCs w:val="22"/>
              </w:rPr>
              <w:t>pronájem prostor</w:t>
            </w:r>
            <w:r w:rsidRPr="0070090A">
              <w:rPr>
                <w:rFonts w:cs="Calibri"/>
                <w:color w:val="000000"/>
                <w:szCs w:val="22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FE9FD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2 477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05C50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1 328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34E5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1 149</w:t>
            </w:r>
          </w:p>
        </w:tc>
      </w:tr>
      <w:tr w:rsidR="0070090A" w:rsidRPr="0070090A" w14:paraId="0831E3ED" w14:textId="77777777" w:rsidTr="0070090A">
        <w:trPr>
          <w:trHeight w:val="33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945B0" w14:textId="77777777" w:rsidR="0070090A" w:rsidRPr="0070090A" w:rsidRDefault="0070090A" w:rsidP="0070090A">
            <w:pPr>
              <w:spacing w:line="240" w:lineRule="auto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Doplňková činnost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36C33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612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A8C49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A95B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color w:val="000000"/>
                <w:szCs w:val="22"/>
              </w:rPr>
            </w:pPr>
            <w:r w:rsidRPr="0070090A">
              <w:rPr>
                <w:rFonts w:cs="Calibri"/>
                <w:color w:val="000000"/>
                <w:szCs w:val="22"/>
              </w:rPr>
              <w:t>112</w:t>
            </w:r>
          </w:p>
        </w:tc>
      </w:tr>
      <w:tr w:rsidR="0070090A" w:rsidRPr="0070090A" w14:paraId="288C0D69" w14:textId="77777777" w:rsidTr="0070090A">
        <w:trPr>
          <w:trHeight w:val="370"/>
        </w:trPr>
        <w:tc>
          <w:tcPr>
            <w:tcW w:w="39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14:paraId="7D01A2BB" w14:textId="77777777" w:rsidR="0070090A" w:rsidRPr="0070090A" w:rsidRDefault="0070090A" w:rsidP="0070090A">
            <w:pPr>
              <w:spacing w:line="240" w:lineRule="auto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14:paraId="42CCE382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106 565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14:paraId="4940CA91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105 304</w:t>
            </w:r>
          </w:p>
        </w:tc>
        <w:tc>
          <w:tcPr>
            <w:tcW w:w="17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14:paraId="55A7FC6F" w14:textId="77777777" w:rsidR="0070090A" w:rsidRPr="0070090A" w:rsidRDefault="0070090A" w:rsidP="0070090A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70090A">
              <w:rPr>
                <w:rFonts w:cs="Calibri"/>
                <w:b/>
                <w:bCs/>
                <w:color w:val="000000"/>
                <w:szCs w:val="22"/>
              </w:rPr>
              <w:t>1 261</w:t>
            </w:r>
          </w:p>
        </w:tc>
      </w:tr>
    </w:tbl>
    <w:p w14:paraId="6CB11893" w14:textId="2453F57A" w:rsidR="004C3859" w:rsidRDefault="004C3859" w:rsidP="004C3859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E5043">
        <w:instrText xml:space="preserve">Excel.Sheet.12 "D:\\Data\\hath3393\\OneDrive - Univerzita Pardubice\\Plocha\\Tajemník\\Výroční zpráva\\2022\\hospodaření\\výroční zpráva 2022 - podklady.xlsx" HV2022_podklad_Graf4!R1C1:R5C4 </w:instrText>
      </w:r>
      <w:r>
        <w:instrText xml:space="preserve">\a \f 4 \h  \* MERGEFORMAT </w:instrText>
      </w:r>
      <w:r>
        <w:fldChar w:fldCharType="separate"/>
      </w:r>
    </w:p>
    <w:p w14:paraId="62E88C39" w14:textId="4B965FF3" w:rsidR="004C3859" w:rsidRDefault="004C3859" w:rsidP="004C3859">
      <w:pPr>
        <w:jc w:val="both"/>
      </w:pPr>
      <w:r>
        <w:fldChar w:fldCharType="end"/>
      </w:r>
      <w:r>
        <w:t>Kladného hospodářského výsledku dosahuje fakulta již od svého vzniku v roce 2007. Vývoj hospodářského výsledku je znázorněn na obrázku 4.</w:t>
      </w:r>
    </w:p>
    <w:p w14:paraId="6E2B7BB7" w14:textId="153605E2" w:rsidR="004C3859" w:rsidRDefault="004C3859" w:rsidP="004C3859">
      <w:pPr>
        <w:jc w:val="both"/>
      </w:pPr>
    </w:p>
    <w:p w14:paraId="548C5FE1" w14:textId="131A4A0F" w:rsidR="004C3859" w:rsidRDefault="0016415B" w:rsidP="009654C5">
      <w:pPr>
        <w:jc w:val="center"/>
      </w:pPr>
      <w:r>
        <w:rPr>
          <w:noProof/>
        </w:rPr>
        <w:drawing>
          <wp:inline distT="0" distB="0" distL="0" distR="0" wp14:anchorId="7297D260" wp14:editId="712EF59E">
            <wp:extent cx="5707380" cy="3726180"/>
            <wp:effectExtent l="0" t="0" r="7620" b="7620"/>
            <wp:docPr id="15237743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B60C01D" w14:textId="7C739F89" w:rsidR="004C3859" w:rsidRDefault="004C3859" w:rsidP="004C3859">
      <w:pPr>
        <w:jc w:val="both"/>
      </w:pPr>
    </w:p>
    <w:p w14:paraId="7ABC3C48" w14:textId="3E83E4D4" w:rsidR="004C3859" w:rsidRDefault="004C3859" w:rsidP="004C3859">
      <w:pPr>
        <w:jc w:val="center"/>
        <w:rPr>
          <w:b/>
          <w:bCs/>
        </w:rPr>
      </w:pPr>
      <w:r w:rsidRPr="004C3859">
        <w:rPr>
          <w:b/>
          <w:bCs/>
        </w:rPr>
        <w:t>Obrázek 4 Vývoj hospodářského výsledku</w:t>
      </w:r>
    </w:p>
    <w:p w14:paraId="64EE6F55" w14:textId="671A2A71" w:rsidR="00FC3B7A" w:rsidRDefault="00FC3B7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39944E0" w14:textId="61BF0E8F" w:rsidR="009654C5" w:rsidRPr="009654C5" w:rsidRDefault="009654C5" w:rsidP="009654C5">
      <w:pPr>
        <w:spacing w:after="160" w:line="259" w:lineRule="auto"/>
        <w:jc w:val="both"/>
      </w:pPr>
      <w:r>
        <w:lastRenderedPageBreak/>
        <w:t>V</w:t>
      </w:r>
      <w:r w:rsidR="00C771CC">
        <w:t> letech 2023 a 2024</w:t>
      </w:r>
      <w:r>
        <w:t xml:space="preserve"> je viditelný pokles hospodářského výsledku proti předchozím obdobím. K tomu došlo na základě optimalizace hospodářského výsledku za účelem </w:t>
      </w:r>
      <w:r w:rsidR="009A04D2">
        <w:t xml:space="preserve">navýšení fondu provozních prostředků a </w:t>
      </w:r>
      <w:r>
        <w:t>minimalizace daně z příjmu právnických osob. Reálně došlo k rozúčtování nákladů spojených s realizací jednotlivých činností, zejména na zakázky celoživotního vzdělávání</w:t>
      </w:r>
      <w:r w:rsidR="00632E78">
        <w:t xml:space="preserve"> </w:t>
      </w:r>
      <w:r>
        <w:t xml:space="preserve">tak, aby náklady odpovídaly kalkulaci ceny. Zároveň tím došlo k úsporám v položce základní dotace, odkud byly náklady přeúčtovány. Výsledkem </w:t>
      </w:r>
      <w:r w:rsidR="00063B91">
        <w:t>bylo</w:t>
      </w:r>
      <w:r>
        <w:t xml:space="preserve"> navýšení fondu provozních prostředků, snížení hospodářského výsledku, ze kterého je fakulta povinna odvést daň z příjmu právnických osob ve výši </w:t>
      </w:r>
      <w:r w:rsidR="00632E78">
        <w:t>21</w:t>
      </w:r>
      <w:r>
        <w:t xml:space="preserve"> % a tím i</w:t>
      </w:r>
      <w:r w:rsidR="00AA16CF">
        <w:t> </w:t>
      </w:r>
      <w:r>
        <w:t>k celkové úspoře nákladů fakulty</w:t>
      </w:r>
      <w:r w:rsidRPr="00BE0068">
        <w:t>.</w:t>
      </w:r>
      <w:r w:rsidR="00F21A56" w:rsidRPr="00BE0068">
        <w:t xml:space="preserve"> V roce 2025 </w:t>
      </w:r>
      <w:r w:rsidR="00BE0068" w:rsidRPr="00BE0068">
        <w:t>nedošlo</w:t>
      </w:r>
      <w:r w:rsidR="00BE0068">
        <w:t>, po dohodě s kvestorem UPCE, k optimalizaci hospodářského výsledku ve prospěch fondu provozních prostředků z důvodu vyt</w:t>
      </w:r>
      <w:r w:rsidR="00022B11">
        <w:t>vo</w:t>
      </w:r>
      <w:r w:rsidR="00BE0068">
        <w:t>ření investiční rezervy pro budoucí výstavbu nové budovy fakulty.</w:t>
      </w:r>
      <w:r w:rsidR="00A8789F">
        <w:t xml:space="preserve"> </w:t>
      </w:r>
      <w:r w:rsidR="002D117B">
        <w:t>Na základě dat z ekonomického oddělení UPCE nedochází pro rok 2025 k vyčíslení daně z příjmu právnických osob.</w:t>
      </w:r>
    </w:p>
    <w:p w14:paraId="594FF8F6" w14:textId="1EF85D29" w:rsidR="004C3859" w:rsidRDefault="004C3859" w:rsidP="004C3859">
      <w:pPr>
        <w:pStyle w:val="Nadpis1"/>
        <w:numPr>
          <w:ilvl w:val="0"/>
          <w:numId w:val="0"/>
        </w:numPr>
      </w:pPr>
      <w:bookmarkStart w:id="9" w:name="_Toc162011997"/>
      <w:r>
        <w:lastRenderedPageBreak/>
        <w:t>4</w:t>
      </w:r>
      <w:r w:rsidRPr="00522383">
        <w:t>. Investiční prostředky</w:t>
      </w:r>
      <w:bookmarkEnd w:id="9"/>
    </w:p>
    <w:p w14:paraId="4BFEF64B" w14:textId="43471F1D" w:rsidR="009654C5" w:rsidRDefault="002D2B32" w:rsidP="004C3859">
      <w:pPr>
        <w:jc w:val="both"/>
      </w:pPr>
      <w:r>
        <w:t>V roce 202</w:t>
      </w:r>
      <w:r w:rsidR="00A8789F">
        <w:t>5</w:t>
      </w:r>
      <w:r>
        <w:t xml:space="preserve"> měla fakulta k dispozici investiční prostředky v celkové výši </w:t>
      </w:r>
      <w:r w:rsidR="00B6393D" w:rsidRPr="00B6393D">
        <w:rPr>
          <w:b/>
          <w:bCs/>
        </w:rPr>
        <w:t>4 732</w:t>
      </w:r>
      <w:r w:rsidRPr="00B6393D">
        <w:rPr>
          <w:b/>
          <w:bCs/>
        </w:rPr>
        <w:t xml:space="preserve"> tis. Kč</w:t>
      </w:r>
      <w:r>
        <w:t xml:space="preserve">. Z toho </w:t>
      </w:r>
      <w:r w:rsidR="00FA3AFA">
        <w:t xml:space="preserve">FRIM </w:t>
      </w:r>
      <w:r>
        <w:t>tvořil</w:t>
      </w:r>
      <w:r w:rsidR="009654C5">
        <w:t>o</w:t>
      </w:r>
      <w:r>
        <w:t xml:space="preserve"> </w:t>
      </w:r>
      <w:r w:rsidR="00B6393D">
        <w:t>4 557</w:t>
      </w:r>
      <w:r>
        <w:t xml:space="preserve"> tis. Kč</w:t>
      </w:r>
      <w:r w:rsidR="00B6393D">
        <w:t xml:space="preserve"> </w:t>
      </w:r>
      <w:r w:rsidR="0072306A">
        <w:t xml:space="preserve">a zůstatek kapitálových prostředků </w:t>
      </w:r>
      <w:r w:rsidR="00B6393D">
        <w:t xml:space="preserve">byl 175 </w:t>
      </w:r>
      <w:r w:rsidR="0072306A">
        <w:t>tis. Kč.</w:t>
      </w:r>
    </w:p>
    <w:p w14:paraId="395BDAFC" w14:textId="61B731D0" w:rsidR="004C3859" w:rsidRDefault="002D2B32" w:rsidP="004C3859">
      <w:pPr>
        <w:jc w:val="both"/>
      </w:pPr>
      <w:r>
        <w:t>Strukturu investičních příjmů znázorňuje tabulka 7.</w:t>
      </w:r>
    </w:p>
    <w:p w14:paraId="2C38C2F6" w14:textId="189C1496" w:rsidR="002D2B32" w:rsidRDefault="002D2B32" w:rsidP="004C3859">
      <w:pPr>
        <w:jc w:val="both"/>
      </w:pPr>
    </w:p>
    <w:p w14:paraId="36CE8154" w14:textId="4C0F188F" w:rsidR="002D2B32" w:rsidRPr="004D22A3" w:rsidRDefault="002D2B32" w:rsidP="004C3859">
      <w:pPr>
        <w:jc w:val="both"/>
        <w:rPr>
          <w:rStyle w:val="Nzevknihy"/>
        </w:rPr>
      </w:pPr>
      <w:r w:rsidRPr="004D22A3">
        <w:rPr>
          <w:rStyle w:val="Nzevknihy"/>
        </w:rPr>
        <w:t>Tabulka 7 Investiční příjmy 202</w:t>
      </w:r>
      <w:r w:rsidR="00B6393D">
        <w:rPr>
          <w:rStyle w:val="Nzevknihy"/>
        </w:rPr>
        <w:t>5</w:t>
      </w:r>
    </w:p>
    <w:tbl>
      <w:tblPr>
        <w:tblW w:w="9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1"/>
        <w:gridCol w:w="2062"/>
        <w:gridCol w:w="181"/>
      </w:tblGrid>
      <w:tr w:rsidR="001E4838" w:rsidRPr="001E4838" w14:paraId="26E2BFD8" w14:textId="77777777" w:rsidTr="001E4838">
        <w:trPr>
          <w:gridAfter w:val="1"/>
          <w:wAfter w:w="181" w:type="dxa"/>
          <w:trHeight w:val="450"/>
        </w:trPr>
        <w:tc>
          <w:tcPr>
            <w:tcW w:w="698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7638B5C" w14:textId="77777777" w:rsidR="001E4838" w:rsidRPr="001E4838" w:rsidRDefault="001E4838" w:rsidP="001E48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4838">
              <w:rPr>
                <w:rFonts w:cs="Calibri"/>
                <w:b/>
                <w:bCs/>
                <w:szCs w:val="22"/>
              </w:rPr>
              <w:t>Investiční příjmy (v tis. Kč)</w:t>
            </w:r>
          </w:p>
        </w:tc>
        <w:tc>
          <w:tcPr>
            <w:tcW w:w="2062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E61C91" w14:textId="77777777" w:rsidR="001E4838" w:rsidRPr="001E4838" w:rsidRDefault="001E4838" w:rsidP="001E483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1E4838">
              <w:rPr>
                <w:rFonts w:cs="Calibri"/>
                <w:b/>
                <w:bCs/>
                <w:szCs w:val="22"/>
              </w:rPr>
              <w:t>Rozpočet</w:t>
            </w:r>
          </w:p>
        </w:tc>
      </w:tr>
      <w:tr w:rsidR="001E4838" w:rsidRPr="001E4838" w14:paraId="11C10425" w14:textId="77777777" w:rsidTr="001E4838">
        <w:trPr>
          <w:trHeight w:val="307"/>
        </w:trPr>
        <w:tc>
          <w:tcPr>
            <w:tcW w:w="698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7AC9" w14:textId="77777777" w:rsidR="001E4838" w:rsidRPr="001E4838" w:rsidRDefault="001E4838" w:rsidP="001E48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2062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16F80" w14:textId="77777777" w:rsidR="001E4838" w:rsidRPr="001E4838" w:rsidRDefault="001E4838" w:rsidP="001E48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4C5A" w14:textId="77777777" w:rsidR="001E4838" w:rsidRPr="001E4838" w:rsidRDefault="001E4838" w:rsidP="001E4838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1E4838" w:rsidRPr="001E4838" w14:paraId="4A4DC3AA" w14:textId="77777777" w:rsidTr="001E4838">
        <w:trPr>
          <w:trHeight w:val="307"/>
        </w:trPr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C533" w14:textId="77777777" w:rsidR="001E4838" w:rsidRPr="001E4838" w:rsidRDefault="001E4838" w:rsidP="001E4838">
            <w:pPr>
              <w:spacing w:line="240" w:lineRule="auto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Tvorba FRIM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37E" w14:textId="77777777" w:rsidR="001E4838" w:rsidRPr="001E4838" w:rsidRDefault="001E4838" w:rsidP="001E483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4 557</w:t>
            </w:r>
          </w:p>
        </w:tc>
        <w:tc>
          <w:tcPr>
            <w:tcW w:w="181" w:type="dxa"/>
            <w:vAlign w:val="center"/>
            <w:hideMark/>
          </w:tcPr>
          <w:p w14:paraId="22F273B6" w14:textId="77777777" w:rsidR="001E4838" w:rsidRPr="001E4838" w:rsidRDefault="001E4838" w:rsidP="001E48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838" w:rsidRPr="001E4838" w14:paraId="410E30EC" w14:textId="77777777" w:rsidTr="001E4838">
        <w:trPr>
          <w:trHeight w:val="307"/>
        </w:trPr>
        <w:tc>
          <w:tcPr>
            <w:tcW w:w="6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3397" w14:textId="77777777" w:rsidR="001E4838" w:rsidRPr="001E4838" w:rsidRDefault="001E4838" w:rsidP="001E4838">
            <w:pPr>
              <w:spacing w:line="240" w:lineRule="auto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Rozvojové projekty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F1BC" w14:textId="77777777" w:rsidR="001E4838" w:rsidRPr="001E4838" w:rsidRDefault="001E4838" w:rsidP="001E483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0</w:t>
            </w:r>
          </w:p>
        </w:tc>
        <w:tc>
          <w:tcPr>
            <w:tcW w:w="181" w:type="dxa"/>
            <w:vAlign w:val="center"/>
            <w:hideMark/>
          </w:tcPr>
          <w:p w14:paraId="6CA996E1" w14:textId="77777777" w:rsidR="001E4838" w:rsidRPr="001E4838" w:rsidRDefault="001E4838" w:rsidP="001E48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838" w:rsidRPr="001E4838" w14:paraId="0729F1CF" w14:textId="77777777" w:rsidTr="001E4838">
        <w:trPr>
          <w:trHeight w:val="307"/>
        </w:trPr>
        <w:tc>
          <w:tcPr>
            <w:tcW w:w="6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98E3" w14:textId="77777777" w:rsidR="001E4838" w:rsidRPr="001E4838" w:rsidRDefault="001E4838" w:rsidP="001E4838">
            <w:pPr>
              <w:spacing w:line="240" w:lineRule="auto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Rozvojové a transformační projekty MŠMT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1D6B" w14:textId="77777777" w:rsidR="001E4838" w:rsidRPr="001E4838" w:rsidRDefault="001E4838" w:rsidP="001E483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0</w:t>
            </w:r>
          </w:p>
        </w:tc>
        <w:tc>
          <w:tcPr>
            <w:tcW w:w="181" w:type="dxa"/>
            <w:vAlign w:val="center"/>
            <w:hideMark/>
          </w:tcPr>
          <w:p w14:paraId="1A4293B9" w14:textId="77777777" w:rsidR="001E4838" w:rsidRPr="001E4838" w:rsidRDefault="001E4838" w:rsidP="001E48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838" w:rsidRPr="001E4838" w14:paraId="6B9A9BC6" w14:textId="77777777" w:rsidTr="001E4838">
        <w:trPr>
          <w:trHeight w:val="307"/>
        </w:trPr>
        <w:tc>
          <w:tcPr>
            <w:tcW w:w="6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E41" w14:textId="77777777" w:rsidR="001E4838" w:rsidRPr="001E4838" w:rsidRDefault="001E4838" w:rsidP="001E4838">
            <w:pPr>
              <w:spacing w:line="240" w:lineRule="auto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Kapitálový příspěvek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3C52" w14:textId="77777777" w:rsidR="001E4838" w:rsidRPr="001E4838" w:rsidRDefault="001E4838" w:rsidP="001E4838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1E4838">
              <w:rPr>
                <w:rFonts w:cs="Calibri"/>
                <w:szCs w:val="22"/>
              </w:rPr>
              <w:t>175</w:t>
            </w:r>
          </w:p>
        </w:tc>
        <w:tc>
          <w:tcPr>
            <w:tcW w:w="181" w:type="dxa"/>
            <w:vAlign w:val="center"/>
            <w:hideMark/>
          </w:tcPr>
          <w:p w14:paraId="0272079C" w14:textId="77777777" w:rsidR="001E4838" w:rsidRPr="001E4838" w:rsidRDefault="001E4838" w:rsidP="001E48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838" w:rsidRPr="001E4838" w14:paraId="4B83A78D" w14:textId="77777777" w:rsidTr="001E4838">
        <w:trPr>
          <w:trHeight w:val="320"/>
        </w:trPr>
        <w:tc>
          <w:tcPr>
            <w:tcW w:w="69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556EC4D" w14:textId="77777777" w:rsidR="001E4838" w:rsidRPr="001E4838" w:rsidRDefault="001E4838" w:rsidP="001E4838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1E4838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20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2B409A3" w14:textId="77777777" w:rsidR="001E4838" w:rsidRPr="001E4838" w:rsidRDefault="001E4838" w:rsidP="001E4838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1E4838">
              <w:rPr>
                <w:rFonts w:cs="Calibri"/>
                <w:b/>
                <w:bCs/>
                <w:szCs w:val="22"/>
              </w:rPr>
              <w:t>4 732</w:t>
            </w:r>
          </w:p>
        </w:tc>
        <w:tc>
          <w:tcPr>
            <w:tcW w:w="181" w:type="dxa"/>
            <w:vAlign w:val="center"/>
            <w:hideMark/>
          </w:tcPr>
          <w:p w14:paraId="1FE26684" w14:textId="77777777" w:rsidR="001E4838" w:rsidRPr="001E4838" w:rsidRDefault="001E4838" w:rsidP="001E483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D032A2" w14:textId="228EA140" w:rsidR="002D2B32" w:rsidRDefault="002D2B32" w:rsidP="004C3859">
      <w:pPr>
        <w:jc w:val="both"/>
      </w:pPr>
    </w:p>
    <w:p w14:paraId="3D47D772" w14:textId="5EFEC120" w:rsidR="002D2B32" w:rsidRDefault="002D2B32" w:rsidP="004C3859">
      <w:pPr>
        <w:jc w:val="both"/>
      </w:pPr>
      <w:r>
        <w:t>Fakulta dlouhodobě plánuje</w:t>
      </w:r>
      <w:r w:rsidR="0072306A">
        <w:t xml:space="preserve"> větší </w:t>
      </w:r>
      <w:r>
        <w:t>investiční výdaje spojené s obnovou a modernizací vybavení odborných učeben (výukové modely a simulátory) zejména z projektových zdrojů. V roce 202</w:t>
      </w:r>
      <w:r w:rsidR="00AE4D29">
        <w:t>5</w:t>
      </w:r>
      <w:r>
        <w:t xml:space="preserve"> </w:t>
      </w:r>
      <w:r w:rsidR="0072306A">
        <w:t xml:space="preserve">došlo z FRIM k nákupu </w:t>
      </w:r>
      <w:r w:rsidR="00690F37">
        <w:t>model</w:t>
      </w:r>
      <w:r w:rsidR="00524F3E">
        <w:t>ů</w:t>
      </w:r>
      <w:r w:rsidR="00690F37">
        <w:t xml:space="preserve"> pro nácvik intramuskulární injekce do nadloktí a hýždě</w:t>
      </w:r>
      <w:r w:rsidR="00524F3E">
        <w:t>. Součástí majetku se stal i porodní gauč, který získala fakulta darem od Nadačního fondu Propolis 33.</w:t>
      </w:r>
    </w:p>
    <w:p w14:paraId="66F6F36B" w14:textId="2AE53088" w:rsidR="002D2B32" w:rsidRDefault="002D2B32" w:rsidP="004C3859">
      <w:pPr>
        <w:jc w:val="both"/>
      </w:pPr>
    </w:p>
    <w:p w14:paraId="35839105" w14:textId="392919A9" w:rsidR="002D2B32" w:rsidRPr="00DC5DFE" w:rsidRDefault="002D2B32" w:rsidP="004C3859">
      <w:pPr>
        <w:jc w:val="both"/>
        <w:rPr>
          <w:rStyle w:val="Nzevknihy"/>
        </w:rPr>
      </w:pPr>
      <w:r w:rsidRPr="00DC5DFE">
        <w:rPr>
          <w:rStyle w:val="Nzevknihy"/>
        </w:rPr>
        <w:t>Tabulka 8 Investiční výdaje 202</w:t>
      </w:r>
      <w:r w:rsidR="00524F3E">
        <w:rPr>
          <w:rStyle w:val="Nzevknihy"/>
        </w:rPr>
        <w:t>5</w:t>
      </w:r>
    </w:p>
    <w:tbl>
      <w:tblPr>
        <w:tblW w:w="9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4"/>
        <w:gridCol w:w="2016"/>
        <w:gridCol w:w="178"/>
      </w:tblGrid>
      <w:tr w:rsidR="009A5D9D" w:rsidRPr="009A5D9D" w14:paraId="4155F3B8" w14:textId="77777777" w:rsidTr="009A5D9D">
        <w:trPr>
          <w:gridAfter w:val="1"/>
          <w:wAfter w:w="178" w:type="dxa"/>
          <w:trHeight w:val="504"/>
        </w:trPr>
        <w:tc>
          <w:tcPr>
            <w:tcW w:w="698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7847CB5" w14:textId="77777777" w:rsidR="009A5D9D" w:rsidRPr="009A5D9D" w:rsidRDefault="009A5D9D" w:rsidP="009A5D9D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9A5D9D">
              <w:rPr>
                <w:rFonts w:cs="Calibri"/>
                <w:b/>
                <w:bCs/>
                <w:szCs w:val="22"/>
              </w:rPr>
              <w:t>Investiční výdaje (v tis. Kč)</w:t>
            </w:r>
          </w:p>
        </w:tc>
        <w:tc>
          <w:tcPr>
            <w:tcW w:w="20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0B0FFE7" w14:textId="77777777" w:rsidR="009A5D9D" w:rsidRPr="009A5D9D" w:rsidRDefault="009A5D9D" w:rsidP="009A5D9D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9A5D9D">
              <w:rPr>
                <w:rFonts w:cs="Calibri"/>
                <w:b/>
                <w:bCs/>
                <w:szCs w:val="22"/>
              </w:rPr>
              <w:t>Pořizovací cena v tis. Kč</w:t>
            </w:r>
          </w:p>
        </w:tc>
      </w:tr>
      <w:tr w:rsidR="009A5D9D" w:rsidRPr="009A5D9D" w14:paraId="084DE5D6" w14:textId="77777777" w:rsidTr="009A5D9D">
        <w:trPr>
          <w:trHeight w:val="369"/>
        </w:trPr>
        <w:tc>
          <w:tcPr>
            <w:tcW w:w="698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73B988" w14:textId="77777777" w:rsidR="009A5D9D" w:rsidRPr="009A5D9D" w:rsidRDefault="009A5D9D" w:rsidP="009A5D9D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20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A1482A" w14:textId="77777777" w:rsidR="009A5D9D" w:rsidRPr="009A5D9D" w:rsidRDefault="009A5D9D" w:rsidP="009A5D9D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17BF" w14:textId="77777777" w:rsidR="009A5D9D" w:rsidRPr="009A5D9D" w:rsidRDefault="009A5D9D" w:rsidP="009A5D9D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9A5D9D" w:rsidRPr="009A5D9D" w14:paraId="62279BC3" w14:textId="77777777" w:rsidTr="009A5D9D">
        <w:trPr>
          <w:trHeight w:val="369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85A" w14:textId="396AB47B" w:rsidR="009A5D9D" w:rsidRPr="009A5D9D" w:rsidRDefault="009A5D9D" w:rsidP="009A5D9D">
            <w:pPr>
              <w:spacing w:line="240" w:lineRule="auto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Model pro nácvik int</w:t>
            </w:r>
            <w:r w:rsidR="001F5006">
              <w:rPr>
                <w:rFonts w:cs="Calibri"/>
                <w:szCs w:val="22"/>
              </w:rPr>
              <w:t>r</w:t>
            </w:r>
            <w:r w:rsidRPr="009A5D9D">
              <w:rPr>
                <w:rFonts w:cs="Calibri"/>
                <w:szCs w:val="22"/>
              </w:rPr>
              <w:t>amuskulární injekce do nadloktí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34B9" w14:textId="77777777" w:rsidR="009A5D9D" w:rsidRPr="009A5D9D" w:rsidRDefault="009A5D9D" w:rsidP="009A5D9D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147</w:t>
            </w:r>
          </w:p>
        </w:tc>
        <w:tc>
          <w:tcPr>
            <w:tcW w:w="178" w:type="dxa"/>
            <w:vAlign w:val="center"/>
            <w:hideMark/>
          </w:tcPr>
          <w:p w14:paraId="785B5061" w14:textId="77777777" w:rsidR="009A5D9D" w:rsidRPr="009A5D9D" w:rsidRDefault="009A5D9D" w:rsidP="009A5D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D9D" w:rsidRPr="009A5D9D" w14:paraId="0417BFCD" w14:textId="77777777" w:rsidTr="009A5D9D">
        <w:trPr>
          <w:trHeight w:val="354"/>
        </w:trPr>
        <w:tc>
          <w:tcPr>
            <w:tcW w:w="6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1DE" w14:textId="7C5FD024" w:rsidR="009A5D9D" w:rsidRPr="009A5D9D" w:rsidRDefault="009A5D9D" w:rsidP="009A5D9D">
            <w:pPr>
              <w:spacing w:line="240" w:lineRule="auto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Simulátor pro nácvik intramuskulární i</w:t>
            </w:r>
            <w:r w:rsidR="00096FAD">
              <w:rPr>
                <w:rFonts w:cs="Calibri"/>
                <w:szCs w:val="22"/>
              </w:rPr>
              <w:t>n</w:t>
            </w:r>
            <w:r w:rsidRPr="009A5D9D">
              <w:rPr>
                <w:rFonts w:cs="Calibri"/>
                <w:szCs w:val="22"/>
              </w:rPr>
              <w:t>jekce do hýždě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05F3" w14:textId="77777777" w:rsidR="009A5D9D" w:rsidRPr="009A5D9D" w:rsidRDefault="009A5D9D" w:rsidP="009A5D9D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83</w:t>
            </w:r>
          </w:p>
        </w:tc>
        <w:tc>
          <w:tcPr>
            <w:tcW w:w="178" w:type="dxa"/>
            <w:vAlign w:val="center"/>
            <w:hideMark/>
          </w:tcPr>
          <w:p w14:paraId="37C10CE0" w14:textId="77777777" w:rsidR="009A5D9D" w:rsidRPr="009A5D9D" w:rsidRDefault="009A5D9D" w:rsidP="009A5D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D9D" w:rsidRPr="009A5D9D" w14:paraId="2311CA12" w14:textId="77777777" w:rsidTr="009A5D9D">
        <w:trPr>
          <w:trHeight w:val="354"/>
        </w:trPr>
        <w:tc>
          <w:tcPr>
            <w:tcW w:w="6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C775" w14:textId="77777777" w:rsidR="009A5D9D" w:rsidRPr="009A5D9D" w:rsidRDefault="009A5D9D" w:rsidP="009A5D9D">
            <w:pPr>
              <w:spacing w:line="240" w:lineRule="auto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Gauč porodní - dar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9EE2" w14:textId="77777777" w:rsidR="009A5D9D" w:rsidRPr="009A5D9D" w:rsidRDefault="009A5D9D" w:rsidP="009A5D9D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9A5D9D">
              <w:rPr>
                <w:rFonts w:cs="Calibri"/>
                <w:szCs w:val="22"/>
              </w:rPr>
              <w:t>117</w:t>
            </w:r>
          </w:p>
        </w:tc>
        <w:tc>
          <w:tcPr>
            <w:tcW w:w="178" w:type="dxa"/>
            <w:vAlign w:val="center"/>
            <w:hideMark/>
          </w:tcPr>
          <w:p w14:paraId="7E191399" w14:textId="77777777" w:rsidR="009A5D9D" w:rsidRPr="009A5D9D" w:rsidRDefault="009A5D9D" w:rsidP="009A5D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D9D" w:rsidRPr="009A5D9D" w14:paraId="104D57C6" w14:textId="77777777" w:rsidTr="009A5D9D">
        <w:trPr>
          <w:trHeight w:val="369"/>
        </w:trPr>
        <w:tc>
          <w:tcPr>
            <w:tcW w:w="698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C81E72E" w14:textId="77777777" w:rsidR="009A5D9D" w:rsidRPr="009A5D9D" w:rsidRDefault="009A5D9D" w:rsidP="009A5D9D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9A5D9D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2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E8EDD54" w14:textId="77777777" w:rsidR="009A5D9D" w:rsidRPr="009A5D9D" w:rsidRDefault="009A5D9D" w:rsidP="009A5D9D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9A5D9D">
              <w:rPr>
                <w:rFonts w:cs="Calibri"/>
                <w:b/>
                <w:bCs/>
                <w:szCs w:val="22"/>
              </w:rPr>
              <w:t>347</w:t>
            </w:r>
          </w:p>
        </w:tc>
        <w:tc>
          <w:tcPr>
            <w:tcW w:w="178" w:type="dxa"/>
            <w:vAlign w:val="center"/>
            <w:hideMark/>
          </w:tcPr>
          <w:p w14:paraId="69CD9EAE" w14:textId="77777777" w:rsidR="009A5D9D" w:rsidRPr="009A5D9D" w:rsidRDefault="009A5D9D" w:rsidP="009A5D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4A9069" w14:textId="1D92E397" w:rsidR="002D2B32" w:rsidRDefault="002D2B32" w:rsidP="004C3859">
      <w:pPr>
        <w:jc w:val="both"/>
      </w:pPr>
    </w:p>
    <w:p w14:paraId="2731CA5C" w14:textId="67D68029" w:rsidR="002D2B32" w:rsidRDefault="002D2B32" w:rsidP="004C3859">
      <w:pPr>
        <w:jc w:val="both"/>
      </w:pPr>
    </w:p>
    <w:p w14:paraId="38C38F9E" w14:textId="00370536" w:rsidR="00FC3B7A" w:rsidRDefault="00FC3B7A">
      <w:pPr>
        <w:spacing w:after="160" w:line="259" w:lineRule="auto"/>
      </w:pPr>
      <w:r>
        <w:br w:type="page"/>
      </w:r>
    </w:p>
    <w:p w14:paraId="07637DC0" w14:textId="4F47F439" w:rsidR="002D2B32" w:rsidRDefault="002D2B32" w:rsidP="002D2B32">
      <w:pPr>
        <w:pStyle w:val="Nadpis1"/>
        <w:numPr>
          <w:ilvl w:val="0"/>
          <w:numId w:val="0"/>
        </w:numPr>
        <w:ind w:left="432" w:hanging="432"/>
      </w:pPr>
      <w:bookmarkStart w:id="10" w:name="_Toc162011998"/>
      <w:r>
        <w:lastRenderedPageBreak/>
        <w:t>5. Tvorba a čerpání fondů</w:t>
      </w:r>
      <w:bookmarkEnd w:id="10"/>
    </w:p>
    <w:p w14:paraId="7471D353" w14:textId="1E3B7BA1" w:rsidR="002D2B32" w:rsidRDefault="002D2B32" w:rsidP="00DD389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základě § 18, odst. 6 zákona č. 111/198 Sb. o vysokých školách zřizuje veřejná vysoká škola fondy. Dle pravidel hospodaření Univerzity Pardubice může děkan fakulty rozhodovat v rámci rozpočtu fakulty o těchto fondech:</w:t>
      </w:r>
    </w:p>
    <w:p w14:paraId="2B479C38" w14:textId="77777777" w:rsidR="002D2B32" w:rsidRDefault="002D2B32" w:rsidP="00DD3894">
      <w:pPr>
        <w:jc w:val="both"/>
        <w:rPr>
          <w:rFonts w:cs="Arial"/>
          <w:szCs w:val="20"/>
        </w:rPr>
      </w:pPr>
    </w:p>
    <w:p w14:paraId="4DC51CF9" w14:textId="77777777" w:rsidR="002D2B32" w:rsidRDefault="002D2B32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- fond reprodukce investičního majetku (FRIM),</w:t>
      </w:r>
    </w:p>
    <w:p w14:paraId="1DF5662F" w14:textId="77777777" w:rsidR="002D2B32" w:rsidRDefault="002D2B32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- fond účelově určených prostředků (FÚUP),</w:t>
      </w:r>
    </w:p>
    <w:p w14:paraId="6A5DD7DD" w14:textId="3236C37F" w:rsidR="002D2B32" w:rsidRDefault="002D2B32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- fond provozních prostředků (FPP)</w:t>
      </w:r>
      <w:r w:rsidR="0072306A">
        <w:rPr>
          <w:rFonts w:cs="Arial"/>
          <w:szCs w:val="20"/>
        </w:rPr>
        <w:t xml:space="preserve">, </w:t>
      </w:r>
    </w:p>
    <w:p w14:paraId="07517572" w14:textId="183D355A" w:rsidR="0072306A" w:rsidRDefault="0072306A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- fond ze zisku</w:t>
      </w:r>
    </w:p>
    <w:p w14:paraId="2D2F1B5E" w14:textId="77777777" w:rsidR="002D2B32" w:rsidRDefault="002D2B32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0339B613" w14:textId="3A14AB94" w:rsidR="002D2B32" w:rsidRDefault="002D2B32" w:rsidP="00DD38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Fondy (s výjimkou fondu účelově určených prostředků) jsou naplňovány zejména z hospodářského výsledku a ze zůstatku dotací a příspěvků k 31. 12. běžného roku. </w:t>
      </w:r>
      <w:r w:rsidR="00E61A59">
        <w:rPr>
          <w:rFonts w:cs="Arial"/>
          <w:szCs w:val="20"/>
        </w:rPr>
        <w:t>FRIM</w:t>
      </w:r>
      <w:r>
        <w:rPr>
          <w:rFonts w:cs="Arial"/>
          <w:szCs w:val="20"/>
        </w:rPr>
        <w:t xml:space="preserve"> je zároveň automaticky </w:t>
      </w:r>
      <w:r w:rsidR="00DD3894">
        <w:rPr>
          <w:rFonts w:cs="Arial"/>
          <w:szCs w:val="20"/>
        </w:rPr>
        <w:t>každoročně doplňován z odpisů investičního majetku, který byl ze zdrojů tohoto fondu zakoupen</w:t>
      </w:r>
      <w:r w:rsidR="00B22243">
        <w:rPr>
          <w:rFonts w:cs="Arial"/>
          <w:szCs w:val="20"/>
        </w:rPr>
        <w:t>, případně na základě rozhodnutí děkana z hospodářského výsledku fakulty za předchozí kalendářní rok</w:t>
      </w:r>
      <w:r w:rsidR="00DD389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Podrobnější informace o naplňování a čerpání jednotlivých fondů je uveden v tabulce </w:t>
      </w:r>
      <w:r w:rsidR="00DD3894">
        <w:rPr>
          <w:rFonts w:cs="Arial"/>
          <w:szCs w:val="20"/>
        </w:rPr>
        <w:t>9</w:t>
      </w:r>
      <w:r>
        <w:rPr>
          <w:rFonts w:cs="Arial"/>
          <w:szCs w:val="20"/>
        </w:rPr>
        <w:t>.</w:t>
      </w:r>
    </w:p>
    <w:p w14:paraId="167113F0" w14:textId="60E60966" w:rsidR="002D2B32" w:rsidRDefault="002D2B32" w:rsidP="00DD3894">
      <w:pPr>
        <w:jc w:val="both"/>
      </w:pPr>
    </w:p>
    <w:p w14:paraId="740374C7" w14:textId="752C3350" w:rsidR="00DD3894" w:rsidRPr="00DC5DFE" w:rsidRDefault="00DD3894" w:rsidP="00DD3894">
      <w:pPr>
        <w:jc w:val="both"/>
        <w:rPr>
          <w:rStyle w:val="Nzevknihy"/>
        </w:rPr>
      </w:pPr>
      <w:r w:rsidRPr="00DC5DFE">
        <w:rPr>
          <w:rStyle w:val="Nzevknihy"/>
        </w:rPr>
        <w:t>Tabulka 9 Tvorba a čerpání fondů</w:t>
      </w: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1495"/>
        <w:gridCol w:w="1492"/>
        <w:gridCol w:w="1493"/>
        <w:gridCol w:w="1494"/>
        <w:gridCol w:w="176"/>
      </w:tblGrid>
      <w:tr w:rsidR="008061CB" w:rsidRPr="008061CB" w14:paraId="41F5EF59" w14:textId="77777777" w:rsidTr="008061CB">
        <w:trPr>
          <w:gridAfter w:val="1"/>
          <w:wAfter w:w="176" w:type="dxa"/>
          <w:trHeight w:val="462"/>
        </w:trPr>
        <w:tc>
          <w:tcPr>
            <w:tcW w:w="308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D9E725E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Fondy (v tis. Kč)</w:t>
            </w:r>
          </w:p>
        </w:tc>
        <w:tc>
          <w:tcPr>
            <w:tcW w:w="149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2967602" w14:textId="77777777" w:rsidR="008061CB" w:rsidRPr="008061CB" w:rsidRDefault="008061CB" w:rsidP="008061CB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Počáteční zůstatek</w:t>
            </w:r>
          </w:p>
        </w:tc>
        <w:tc>
          <w:tcPr>
            <w:tcW w:w="149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13A204B" w14:textId="77777777" w:rsidR="008061CB" w:rsidRPr="008061CB" w:rsidRDefault="008061CB" w:rsidP="008061CB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Tvorba</w:t>
            </w:r>
          </w:p>
        </w:tc>
        <w:tc>
          <w:tcPr>
            <w:tcW w:w="149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DF59092" w14:textId="77777777" w:rsidR="008061CB" w:rsidRPr="008061CB" w:rsidRDefault="008061CB" w:rsidP="008061CB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Čerpání</w:t>
            </w:r>
          </w:p>
        </w:tc>
        <w:tc>
          <w:tcPr>
            <w:tcW w:w="149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0B81B23" w14:textId="77777777" w:rsidR="008061CB" w:rsidRPr="008061CB" w:rsidRDefault="008061CB" w:rsidP="008061CB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Konečný zůstatek</w:t>
            </w:r>
          </w:p>
        </w:tc>
      </w:tr>
      <w:tr w:rsidR="008061CB" w:rsidRPr="008061CB" w14:paraId="4827BC50" w14:textId="77777777" w:rsidTr="008061CB">
        <w:trPr>
          <w:trHeight w:val="339"/>
        </w:trPr>
        <w:tc>
          <w:tcPr>
            <w:tcW w:w="308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EBF6D0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83600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EC4677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57FA02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9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1ED53C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5153" w14:textId="77777777" w:rsidR="008061CB" w:rsidRPr="008061CB" w:rsidRDefault="008061CB" w:rsidP="008061CB">
            <w:pPr>
              <w:spacing w:line="240" w:lineRule="auto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8061CB" w:rsidRPr="008061CB" w14:paraId="61905B90" w14:textId="77777777" w:rsidTr="008061CB">
        <w:trPr>
          <w:trHeight w:val="339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16C4" w14:textId="77777777" w:rsidR="008061CB" w:rsidRPr="008061CB" w:rsidRDefault="008061CB" w:rsidP="008061CB">
            <w:pPr>
              <w:spacing w:line="240" w:lineRule="auto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FRIM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1E8A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4 557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7CF5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158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A144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230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74A9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4 485</w:t>
            </w:r>
          </w:p>
        </w:tc>
        <w:tc>
          <w:tcPr>
            <w:tcW w:w="176" w:type="dxa"/>
            <w:vAlign w:val="center"/>
            <w:hideMark/>
          </w:tcPr>
          <w:p w14:paraId="191F51C3" w14:textId="77777777" w:rsidR="008061CB" w:rsidRPr="008061CB" w:rsidRDefault="008061CB" w:rsidP="008061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CB" w:rsidRPr="008061CB" w14:paraId="5A4E9B1C" w14:textId="77777777" w:rsidTr="008061CB">
        <w:trPr>
          <w:trHeight w:val="3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8637" w14:textId="77777777" w:rsidR="008061CB" w:rsidRPr="008061CB" w:rsidRDefault="008061CB" w:rsidP="008061CB">
            <w:pPr>
              <w:spacing w:line="240" w:lineRule="auto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Fondy ze zisku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E331" w14:textId="0FEDB85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2 2</w:t>
            </w:r>
            <w:r w:rsidR="00512A5A">
              <w:rPr>
                <w:rFonts w:cs="Calibri"/>
                <w:szCs w:val="22"/>
              </w:rPr>
              <w:t>59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A857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EDC5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6213" w14:textId="32EC82EA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2 1</w:t>
            </w:r>
            <w:r w:rsidR="00512A5A">
              <w:rPr>
                <w:rFonts w:cs="Calibri"/>
                <w:szCs w:val="22"/>
              </w:rPr>
              <w:t>38</w:t>
            </w:r>
          </w:p>
        </w:tc>
        <w:tc>
          <w:tcPr>
            <w:tcW w:w="176" w:type="dxa"/>
            <w:vAlign w:val="center"/>
            <w:hideMark/>
          </w:tcPr>
          <w:p w14:paraId="5E4D65FE" w14:textId="77777777" w:rsidR="008061CB" w:rsidRPr="008061CB" w:rsidRDefault="008061CB" w:rsidP="008061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CB" w:rsidRPr="008061CB" w14:paraId="37C0D9DC" w14:textId="77777777" w:rsidTr="008061CB">
        <w:trPr>
          <w:trHeight w:val="32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7936" w14:textId="77777777" w:rsidR="008061CB" w:rsidRPr="008061CB" w:rsidRDefault="008061CB" w:rsidP="008061CB">
            <w:pPr>
              <w:spacing w:line="240" w:lineRule="auto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FÚUP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BFA6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EB2B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9C60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DAD9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76" w:type="dxa"/>
            <w:vAlign w:val="center"/>
            <w:hideMark/>
          </w:tcPr>
          <w:p w14:paraId="0D98BE15" w14:textId="77777777" w:rsidR="008061CB" w:rsidRPr="008061CB" w:rsidRDefault="008061CB" w:rsidP="008061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CB" w:rsidRPr="008061CB" w14:paraId="52735E5F" w14:textId="77777777" w:rsidTr="008061CB">
        <w:trPr>
          <w:trHeight w:val="339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A988" w14:textId="77777777" w:rsidR="008061CB" w:rsidRPr="008061CB" w:rsidRDefault="008061CB" w:rsidP="008061CB">
            <w:pPr>
              <w:spacing w:line="240" w:lineRule="auto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FPP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B3BA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50 723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C102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6 747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4CC8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7371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szCs w:val="22"/>
              </w:rPr>
            </w:pPr>
            <w:r w:rsidRPr="008061CB">
              <w:rPr>
                <w:rFonts w:cs="Calibri"/>
                <w:szCs w:val="22"/>
              </w:rPr>
              <w:t>57 470</w:t>
            </w:r>
          </w:p>
        </w:tc>
        <w:tc>
          <w:tcPr>
            <w:tcW w:w="176" w:type="dxa"/>
            <w:vAlign w:val="center"/>
            <w:hideMark/>
          </w:tcPr>
          <w:p w14:paraId="1B958747" w14:textId="77777777" w:rsidR="008061CB" w:rsidRPr="008061CB" w:rsidRDefault="008061CB" w:rsidP="008061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1CB" w:rsidRPr="008061CB" w14:paraId="290B6811" w14:textId="77777777" w:rsidTr="008061CB">
        <w:trPr>
          <w:trHeight w:val="353"/>
        </w:trPr>
        <w:tc>
          <w:tcPr>
            <w:tcW w:w="308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EF84977" w14:textId="77777777" w:rsidR="008061CB" w:rsidRPr="008061CB" w:rsidRDefault="008061CB" w:rsidP="008061CB">
            <w:pPr>
              <w:spacing w:line="240" w:lineRule="auto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Celkem</w:t>
            </w:r>
          </w:p>
        </w:tc>
        <w:tc>
          <w:tcPr>
            <w:tcW w:w="149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2723BD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57 504</w:t>
            </w:r>
          </w:p>
        </w:tc>
        <w:tc>
          <w:tcPr>
            <w:tcW w:w="14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692C468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6 905</w:t>
            </w:r>
          </w:p>
        </w:tc>
        <w:tc>
          <w:tcPr>
            <w:tcW w:w="14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7858CD7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351</w:t>
            </w:r>
          </w:p>
        </w:tc>
        <w:tc>
          <w:tcPr>
            <w:tcW w:w="14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97903C1" w14:textId="77777777" w:rsidR="008061CB" w:rsidRPr="008061CB" w:rsidRDefault="008061CB" w:rsidP="008061CB">
            <w:pPr>
              <w:spacing w:line="240" w:lineRule="auto"/>
              <w:jc w:val="right"/>
              <w:rPr>
                <w:rFonts w:cs="Calibri"/>
                <w:b/>
                <w:bCs/>
                <w:szCs w:val="22"/>
              </w:rPr>
            </w:pPr>
            <w:r w:rsidRPr="008061CB">
              <w:rPr>
                <w:rFonts w:cs="Calibri"/>
                <w:b/>
                <w:bCs/>
                <w:szCs w:val="22"/>
              </w:rPr>
              <w:t>64 058</w:t>
            </w:r>
          </w:p>
        </w:tc>
        <w:tc>
          <w:tcPr>
            <w:tcW w:w="176" w:type="dxa"/>
            <w:vAlign w:val="center"/>
            <w:hideMark/>
          </w:tcPr>
          <w:p w14:paraId="0291A8F5" w14:textId="77777777" w:rsidR="008061CB" w:rsidRPr="008061CB" w:rsidRDefault="008061CB" w:rsidP="008061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E939B7" w14:textId="41D383AF" w:rsidR="00DD3894" w:rsidRDefault="00DD3894" w:rsidP="00DD389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E5043">
        <w:instrText xml:space="preserve">Excel.Sheet.12 "D:\\Data\\hath3393\\OneDrive - Univerzita Pardubice\\Plocha\\Tajemník\\Výroční zpráva\\2022\\hospodaření\\výroční zpráva 2022 - podklady.xlsx" "Fondy 2022!R1C1:R7C5" </w:instrText>
      </w:r>
      <w:r>
        <w:instrText xml:space="preserve">\a \f 4 \h  \* MERGEFORMAT </w:instrText>
      </w:r>
      <w:r>
        <w:fldChar w:fldCharType="separate"/>
      </w:r>
    </w:p>
    <w:p w14:paraId="55A48B17" w14:textId="015D4A0C" w:rsidR="00DD3894" w:rsidRDefault="00DD3894" w:rsidP="00DD3894">
      <w:pPr>
        <w:jc w:val="both"/>
      </w:pPr>
      <w:r>
        <w:fldChar w:fldCharType="end"/>
      </w:r>
      <w:r>
        <w:t xml:space="preserve">Fakulta </w:t>
      </w:r>
      <w:r w:rsidR="00E61A59">
        <w:t>navýšila FRIM z</w:t>
      </w:r>
      <w:r>
        <w:t xml:space="preserve"> </w:t>
      </w:r>
      <w:r w:rsidR="000427BC">
        <w:t>hospodářského výsledku roku 2024</w:t>
      </w:r>
      <w:r>
        <w:t xml:space="preserve"> ve výši </w:t>
      </w:r>
      <w:r w:rsidR="000427BC">
        <w:t xml:space="preserve">158 </w:t>
      </w:r>
      <w:r>
        <w:t xml:space="preserve">tis. Kč. </w:t>
      </w:r>
      <w:r w:rsidR="00285751">
        <w:t xml:space="preserve">Zároveň došlo k čerpání ve výši </w:t>
      </w:r>
      <w:r w:rsidR="001F5006">
        <w:t>230</w:t>
      </w:r>
      <w:r w:rsidR="00285751">
        <w:t xml:space="preserve"> tis. Kč na nákup </w:t>
      </w:r>
      <w:r w:rsidR="001F5006">
        <w:t xml:space="preserve">modelu pro </w:t>
      </w:r>
      <w:r w:rsidR="00096FAD">
        <w:t xml:space="preserve">nácvik </w:t>
      </w:r>
      <w:r w:rsidR="001F5006">
        <w:t>intramuskulární</w:t>
      </w:r>
      <w:r w:rsidR="00096FAD">
        <w:t xml:space="preserve"> injekce</w:t>
      </w:r>
      <w:r w:rsidR="00285751">
        <w:t>.</w:t>
      </w:r>
    </w:p>
    <w:p w14:paraId="1FAC0FA8" w14:textId="21B835AE" w:rsidR="00285751" w:rsidRDefault="00DD3894" w:rsidP="00285751">
      <w:pPr>
        <w:jc w:val="both"/>
      </w:pPr>
      <w:r>
        <w:t xml:space="preserve">Fakulta se v plánu rozpočtu zavázala k vytvoření rezervy z dotace MŠMT </w:t>
      </w:r>
      <w:r w:rsidR="00285751">
        <w:t>v předpokládané výši 5</w:t>
      </w:r>
      <w:r>
        <w:t xml:space="preserve"> mil.</w:t>
      </w:r>
      <w:r w:rsidR="00285751">
        <w:t> </w:t>
      </w:r>
      <w:r>
        <w:t xml:space="preserve">Kč. </w:t>
      </w:r>
      <w:r w:rsidR="00285751">
        <w:t>Předpoklad vytvořené rezervy vycházel ze skutečně čerpaných nákladů za rok 202</w:t>
      </w:r>
      <w:r w:rsidR="00266A07">
        <w:t>4</w:t>
      </w:r>
      <w:r w:rsidR="00285751">
        <w:t xml:space="preserve"> za předpokladu zvýšení tarifních mezd, zvýšení podílu faku</w:t>
      </w:r>
      <w:r w:rsidR="004B168A">
        <w:t>lt</w:t>
      </w:r>
      <w:r w:rsidR="00285751">
        <w:t>y na celouniverzitních nákladech a zapojení fakulty do projektových výzev. Ve skutečnosti</w:t>
      </w:r>
      <w:r w:rsidR="00A12CD6">
        <w:t xml:space="preserve"> vytvořila fakulta rezervu ve výši 6 747 tis. Kč.</w:t>
      </w:r>
      <w:r w:rsidR="00285751">
        <w:t xml:space="preserve"> </w:t>
      </w:r>
      <w:r w:rsidR="00C22737">
        <w:t>Hlavním zdrojem pro navýšení úspory bylo z</w:t>
      </w:r>
      <w:r w:rsidR="00022B11">
        <w:t>ís</w:t>
      </w:r>
      <w:r w:rsidR="00C22737">
        <w:t xml:space="preserve">kání prostředků z </w:t>
      </w:r>
      <w:r w:rsidR="00266A07">
        <w:t>programu MŠMT na navýšení počtu nelékařských zdravotnických pracovníků</w:t>
      </w:r>
      <w:r w:rsidR="00522383">
        <w:t xml:space="preserve">, </w:t>
      </w:r>
      <w:r w:rsidR="00C22737">
        <w:t>které znamenalo úsporu fakulty v osobních nákladech, v položce spotřebního zdravotnického materiálu a drobného majetku v podobě pomůcek a modelů</w:t>
      </w:r>
      <w:r w:rsidR="00C77C31">
        <w:t xml:space="preserve"> a v položce energií a služeb Střední zdravotnické školy Pardubice. K další</w:t>
      </w:r>
      <w:r w:rsidR="002D1407">
        <w:t> úspoře v osobních nákl</w:t>
      </w:r>
      <w:r w:rsidR="00022B11">
        <w:t>a</w:t>
      </w:r>
      <w:r w:rsidR="002D1407">
        <w:t xml:space="preserve">dech </w:t>
      </w:r>
      <w:r w:rsidR="00C77C31">
        <w:t xml:space="preserve">došlo </w:t>
      </w:r>
      <w:r w:rsidR="002D1407">
        <w:t>vlivem zapojení fakulty do dvou vědeckovýzkumných a je</w:t>
      </w:r>
      <w:r w:rsidR="00C77C31">
        <w:t>d</w:t>
      </w:r>
      <w:r w:rsidR="002D1407">
        <w:t xml:space="preserve">noho rozvojového projektu od září 2025. </w:t>
      </w:r>
    </w:p>
    <w:p w14:paraId="70524849" w14:textId="26E172AE" w:rsidR="00285751" w:rsidRDefault="00285751" w:rsidP="00DD3894">
      <w:pPr>
        <w:jc w:val="both"/>
      </w:pPr>
    </w:p>
    <w:p w14:paraId="4CBAA362" w14:textId="05D7DCDC" w:rsidR="006D2F77" w:rsidRDefault="006D2F77" w:rsidP="006D2F77">
      <w:pPr>
        <w:pStyle w:val="Nadpis1"/>
        <w:numPr>
          <w:ilvl w:val="0"/>
          <w:numId w:val="0"/>
        </w:numPr>
        <w:ind w:left="432" w:hanging="432"/>
      </w:pPr>
      <w:bookmarkStart w:id="11" w:name="_Toc162011999"/>
      <w:r w:rsidRPr="001A1B2F">
        <w:lastRenderedPageBreak/>
        <w:t>6. Závěr</w:t>
      </w:r>
      <w:bookmarkEnd w:id="11"/>
    </w:p>
    <w:p w14:paraId="45408890" w14:textId="08B623CA" w:rsidR="006D2F77" w:rsidRDefault="006D2F77" w:rsidP="00DD3894">
      <w:pPr>
        <w:jc w:val="both"/>
      </w:pPr>
      <w:r>
        <w:t>V roce 202</w:t>
      </w:r>
      <w:r w:rsidR="008C3236">
        <w:t>5</w:t>
      </w:r>
      <w:r>
        <w:t xml:space="preserve"> došlo k</w:t>
      </w:r>
      <w:r w:rsidR="00BC3593">
        <w:t> </w:t>
      </w:r>
      <w:r>
        <w:t xml:space="preserve">nárůstu </w:t>
      </w:r>
      <w:r w:rsidR="00F6032B">
        <w:t xml:space="preserve">přidělené </w:t>
      </w:r>
      <w:r>
        <w:t>dotace MŠMT</w:t>
      </w:r>
      <w:r w:rsidR="00F6032B">
        <w:t xml:space="preserve"> po odečtení transferů za výuku</w:t>
      </w:r>
      <w:r w:rsidR="00522383">
        <w:t xml:space="preserve"> zajištěnou jinými součástmi UPCE</w:t>
      </w:r>
      <w:r w:rsidR="00285751">
        <w:t xml:space="preserve"> o </w:t>
      </w:r>
      <w:r w:rsidR="00086828">
        <w:t>7 760</w:t>
      </w:r>
      <w:r w:rsidR="00F6032B">
        <w:t xml:space="preserve"> </w:t>
      </w:r>
      <w:r w:rsidR="00420147">
        <w:t xml:space="preserve">tis. </w:t>
      </w:r>
      <w:r w:rsidR="00F6032B">
        <w:t>Kč</w:t>
      </w:r>
      <w:r>
        <w:t xml:space="preserve">. </w:t>
      </w:r>
      <w:r w:rsidR="00F066CE">
        <w:t xml:space="preserve">Významným zdrojem příjmů bylo získání programové podpory MŠMT na navýšení počtu </w:t>
      </w:r>
      <w:r w:rsidR="00A15809">
        <w:t>nelékařských zdravotnických pracovníků, které bylo podpořeno částkou 17 743 tis. Kč. Tato částka byla v poměru 60:40 rozdělena mezi osobní a ostatní provozní náklady</w:t>
      </w:r>
      <w:r w:rsidR="00F6032B">
        <w:t>.</w:t>
      </w:r>
      <w:r w:rsidR="00261EDD">
        <w:t xml:space="preserve"> </w:t>
      </w:r>
      <w:r w:rsidR="00BD5F74" w:rsidRPr="00BD5F74">
        <w:t>Všem zaměstnancům fakulty byl přiznán projektový osobní příplatek jako opatření směřující ke zvýšení atraktivnosti pracovních podmínek v akademickém prostředí ve srovnání s aplikační sférou.</w:t>
      </w:r>
      <w:r w:rsidR="00BD5F74">
        <w:t xml:space="preserve"> </w:t>
      </w:r>
      <w:r w:rsidR="008054E7">
        <w:t>Z provozních nákladů</w:t>
      </w:r>
      <w:r w:rsidR="00261EDD">
        <w:t xml:space="preserve"> vybavila</w:t>
      </w:r>
      <w:r w:rsidR="00B74099">
        <w:t xml:space="preserve"> fakulta</w:t>
      </w:r>
      <w:r w:rsidR="00261EDD">
        <w:t xml:space="preserve"> výukové prostory dalšími moderními pomůckami a modely</w:t>
      </w:r>
      <w:r w:rsidR="00B74099">
        <w:t>, zajistila nákup nových notebo</w:t>
      </w:r>
      <w:r w:rsidR="00FA0B63">
        <w:t>oků</w:t>
      </w:r>
      <w:r w:rsidR="008E015F">
        <w:t xml:space="preserve"> kompatibilních s Windows 11</w:t>
      </w:r>
      <w:r w:rsidR="00B74099">
        <w:t xml:space="preserve"> a</w:t>
      </w:r>
      <w:r w:rsidR="008054E7">
        <w:t xml:space="preserve"> uhradila část provozních nákladů</w:t>
      </w:r>
      <w:r w:rsidR="008E015F">
        <w:t xml:space="preserve"> na energie a služby SZŠ.</w:t>
      </w:r>
      <w:r w:rsidR="00F6032B">
        <w:t xml:space="preserve"> </w:t>
      </w:r>
      <w:r w:rsidR="004A447A">
        <w:t>V roce 2025 pokračovala</w:t>
      </w:r>
      <w:r w:rsidR="00187273">
        <w:t xml:space="preserve"> finanční spoluúčast Pardubického kraje a Pardubické nemocnice na zajištění mentoringu-stínování</w:t>
      </w:r>
      <w:r w:rsidR="004A447A">
        <w:t xml:space="preserve"> v celkové výši 800 tis. Kč, která byla použita na výplatu odměn mentorům</w:t>
      </w:r>
      <w:r w:rsidR="00B961FC">
        <w:t xml:space="preserve"> (celkové náklady na mentoring stínování byly </w:t>
      </w:r>
      <w:r w:rsidR="00AA16CF">
        <w:t>1 164 tis. Kč)</w:t>
      </w:r>
      <w:r w:rsidR="00187273">
        <w:t>. Fakulta byla úspěšná v realizaci celoživotního vzdělávání a</w:t>
      </w:r>
      <w:r w:rsidR="00AA16CF">
        <w:t> </w:t>
      </w:r>
      <w:r w:rsidR="00187273">
        <w:t xml:space="preserve">doplňkové činnosti, kde byly příjmy o </w:t>
      </w:r>
      <w:r w:rsidR="00BB3986">
        <w:t>2</w:t>
      </w:r>
      <w:r w:rsidR="00187273">
        <w:t>22 tis. Kč vyšší, než bylo plánováno.</w:t>
      </w:r>
      <w:r w:rsidR="00BB3986">
        <w:t xml:space="preserve"> </w:t>
      </w:r>
      <w:r w:rsidR="004B168A">
        <w:t xml:space="preserve">Fakulta </w:t>
      </w:r>
      <w:r w:rsidR="00BB3986">
        <w:t xml:space="preserve">od září 2025 realizovala dva vědeckovýzkumné projekty </w:t>
      </w:r>
      <w:r w:rsidR="006416CA">
        <w:t>TAČR Sigma je zapojena do</w:t>
      </w:r>
      <w:r w:rsidR="004B168A">
        <w:t xml:space="preserve"> </w:t>
      </w:r>
      <w:r w:rsidR="0069120C">
        <w:t>OP JAK.</w:t>
      </w:r>
    </w:p>
    <w:p w14:paraId="370ED7EB" w14:textId="24BC45D0" w:rsidR="00FC3B7A" w:rsidRDefault="00F6032B" w:rsidP="00DD3894">
      <w:pPr>
        <w:jc w:val="both"/>
      </w:pPr>
      <w:r>
        <w:t xml:space="preserve">Náklady fakulty </w:t>
      </w:r>
      <w:r w:rsidR="00CF20DE">
        <w:t>ovlivnil nárůst tarifních mezd</w:t>
      </w:r>
      <w:r w:rsidR="00317CB2">
        <w:t xml:space="preserve"> a</w:t>
      </w:r>
      <w:r w:rsidR="00CF20DE">
        <w:t xml:space="preserve"> nárůst celouniverzitních nákladů</w:t>
      </w:r>
      <w:r>
        <w:t>.</w:t>
      </w:r>
      <w:r w:rsidR="00187273">
        <w:t xml:space="preserve"> Fakultě se podařilo navýšit fond provozních prostředků o </w:t>
      </w:r>
      <w:r w:rsidR="00317CB2">
        <w:t>6 747</w:t>
      </w:r>
      <w:r w:rsidR="00187273">
        <w:t xml:space="preserve"> tis. Kč na celkových </w:t>
      </w:r>
      <w:r w:rsidR="00317CB2">
        <w:t>57 470</w:t>
      </w:r>
      <w:r w:rsidR="00187273">
        <w:t xml:space="preserve"> tis.</w:t>
      </w:r>
      <w:r w:rsidR="00FC3B7A">
        <w:t xml:space="preserve"> Kč</w:t>
      </w:r>
      <w:r w:rsidR="005F0457">
        <w:t xml:space="preserve"> a vytvořit hospodářský výsledek ve výši 1 261 tis. Kč</w:t>
      </w:r>
      <w:r w:rsidR="00FC3B7A">
        <w:t xml:space="preserve">. </w:t>
      </w:r>
      <w:r w:rsidR="00187273">
        <w:t>Tyto zdroje jsou</w:t>
      </w:r>
      <w:r w:rsidR="00282C4D">
        <w:t xml:space="preserve"> primárně určeny na financování vybavení nové budovy fakulty a</w:t>
      </w:r>
      <w:r w:rsidR="00305A53">
        <w:t> </w:t>
      </w:r>
      <w:r w:rsidR="00282C4D">
        <w:t xml:space="preserve">případné </w:t>
      </w:r>
      <w:r w:rsidR="00187273">
        <w:t xml:space="preserve">finanční </w:t>
      </w:r>
      <w:r w:rsidR="00282C4D">
        <w:t>spoluúčasti na její výstavbě.</w:t>
      </w:r>
    </w:p>
    <w:p w14:paraId="67F830CB" w14:textId="307273F2" w:rsidR="00FC3B7A" w:rsidRDefault="00FC3B7A" w:rsidP="00DD3894">
      <w:pPr>
        <w:jc w:val="both"/>
      </w:pPr>
      <w:r>
        <w:t xml:space="preserve">Nejvýznamnější nákladovou položkou </w:t>
      </w:r>
      <w:r w:rsidR="00B96AD0">
        <w:t xml:space="preserve">rozpočtu </w:t>
      </w:r>
      <w:r>
        <w:t xml:space="preserve">byly osobní náklady, které tvořily </w:t>
      </w:r>
      <w:r w:rsidR="005F0457">
        <w:t>58,41</w:t>
      </w:r>
      <w:r>
        <w:t xml:space="preserve"> % celkového rozpočtu fakulty. Druhou nejvyšší položkou byly celouniverzitní náklady (</w:t>
      </w:r>
      <w:r w:rsidR="00D3439B">
        <w:t>21,99</w:t>
      </w:r>
      <w:r>
        <w:t xml:space="preserve"> % celkového rozpočtu)</w:t>
      </w:r>
      <w:r w:rsidR="004A5A18">
        <w:t>, které proti roku 202</w:t>
      </w:r>
      <w:r w:rsidR="00D3439B">
        <w:t>4</w:t>
      </w:r>
      <w:r w:rsidR="004A5A18">
        <w:t xml:space="preserve"> stouply o </w:t>
      </w:r>
      <w:r w:rsidR="000D0860">
        <w:t>17,64</w:t>
      </w:r>
      <w:r w:rsidR="004A5A18">
        <w:t xml:space="preserve"> %</w:t>
      </w:r>
      <w:r>
        <w:t xml:space="preserve">. </w:t>
      </w:r>
    </w:p>
    <w:p w14:paraId="7BD3063E" w14:textId="73917C2D" w:rsidR="00FC3B7A" w:rsidRDefault="00FC3B7A" w:rsidP="00DD3894">
      <w:pPr>
        <w:jc w:val="both"/>
      </w:pPr>
      <w:r>
        <w:t>V dalších letech bude pro fakultu prioritou</w:t>
      </w:r>
      <w:r w:rsidR="002D1B7E">
        <w:t xml:space="preserve"> získání a efektivní využití prostředků z programového financování MŠMT na navýšení počtu nelékařských zdravotnických pracovníků,</w:t>
      </w:r>
      <w:r>
        <w:t xml:space="preserve"> optimalizace osobních nákladů</w:t>
      </w:r>
      <w:r w:rsidR="001A1B2F">
        <w:t xml:space="preserve"> a </w:t>
      </w:r>
      <w:r>
        <w:t>snaha o nárůst podílu prostředků na vědeckovýzkumnou činnost, ať už ve formě dotace či ve formě získání nových projektů.</w:t>
      </w:r>
    </w:p>
    <w:p w14:paraId="1882295A" w14:textId="77777777" w:rsidR="000E719F" w:rsidRDefault="000E719F" w:rsidP="00DD3894">
      <w:pPr>
        <w:jc w:val="both"/>
      </w:pPr>
    </w:p>
    <w:p w14:paraId="02F30CF7" w14:textId="4144FFA6" w:rsidR="006C5C3C" w:rsidRDefault="006C5C3C">
      <w:pPr>
        <w:spacing w:after="160" w:line="259" w:lineRule="auto"/>
      </w:pPr>
      <w:r>
        <w:br w:type="page"/>
      </w:r>
    </w:p>
    <w:p w14:paraId="57F90254" w14:textId="4133560C" w:rsidR="00B61893" w:rsidRDefault="00B61893" w:rsidP="00B61893">
      <w:pPr>
        <w:pStyle w:val="Nadpis1"/>
        <w:numPr>
          <w:ilvl w:val="0"/>
          <w:numId w:val="0"/>
        </w:numPr>
        <w:ind w:left="432" w:hanging="432"/>
      </w:pPr>
      <w:bookmarkStart w:id="12" w:name="_Toc162012000"/>
      <w:r>
        <w:lastRenderedPageBreak/>
        <w:t>Použité zkratky</w:t>
      </w:r>
      <w:bookmarkEnd w:id="12"/>
    </w:p>
    <w:p w14:paraId="5049D55B" w14:textId="77777777" w:rsidR="004B2C74" w:rsidRDefault="004B2C74" w:rsidP="00B61893">
      <w:pPr>
        <w:spacing w:line="360" w:lineRule="auto"/>
      </w:pPr>
    </w:p>
    <w:p w14:paraId="46E8F886" w14:textId="7088C3EA" w:rsidR="00B61893" w:rsidRDefault="00B61893" w:rsidP="00B61893">
      <w:pPr>
        <w:spacing w:line="360" w:lineRule="auto"/>
      </w:pPr>
      <w:r>
        <w:t>DK RVO</w:t>
      </w:r>
      <w:r>
        <w:tab/>
      </w:r>
      <w:r>
        <w:tab/>
      </w:r>
      <w:r w:rsidR="004B168A">
        <w:tab/>
      </w:r>
      <w:r>
        <w:t>Dlouhodobý koncepční rozvoj výzkumné organizace</w:t>
      </w:r>
    </w:p>
    <w:p w14:paraId="384582A3" w14:textId="21DE845E" w:rsidR="00B61893" w:rsidRDefault="00B61893" w:rsidP="00B61893">
      <w:pPr>
        <w:spacing w:line="360" w:lineRule="auto"/>
      </w:pPr>
      <w:r>
        <w:t>DPČ</w:t>
      </w:r>
      <w:r>
        <w:tab/>
      </w:r>
      <w:r>
        <w:tab/>
      </w:r>
      <w:r w:rsidR="004B168A">
        <w:tab/>
      </w:r>
      <w:r>
        <w:t>Dohoda o pracovní činnosti</w:t>
      </w:r>
    </w:p>
    <w:p w14:paraId="74C3E05F" w14:textId="5B428469" w:rsidR="00B61893" w:rsidRDefault="00B61893" w:rsidP="00B61893">
      <w:pPr>
        <w:spacing w:line="360" w:lineRule="auto"/>
      </w:pPr>
      <w:r>
        <w:t>DPP</w:t>
      </w:r>
      <w:r>
        <w:tab/>
      </w:r>
      <w:r>
        <w:tab/>
      </w:r>
      <w:r w:rsidR="004B168A">
        <w:tab/>
      </w:r>
      <w:r>
        <w:t>Dohoda o provedení práce</w:t>
      </w:r>
    </w:p>
    <w:p w14:paraId="63E22EC6" w14:textId="33804778" w:rsidR="00305A53" w:rsidRDefault="00305A53" w:rsidP="00B61893">
      <w:pPr>
        <w:spacing w:line="360" w:lineRule="auto"/>
      </w:pPr>
      <w:r>
        <w:t>FPP</w:t>
      </w:r>
      <w:r>
        <w:tab/>
      </w:r>
      <w:r>
        <w:tab/>
      </w:r>
      <w:r w:rsidR="004B168A">
        <w:tab/>
      </w:r>
      <w:r>
        <w:t>Fond provozních prostředků</w:t>
      </w:r>
    </w:p>
    <w:p w14:paraId="199E0AD7" w14:textId="333280B4" w:rsidR="00305A53" w:rsidRDefault="00305A53" w:rsidP="00B61893">
      <w:pPr>
        <w:spacing w:line="360" w:lineRule="auto"/>
      </w:pPr>
      <w:r>
        <w:t>FRIM</w:t>
      </w:r>
      <w:r>
        <w:tab/>
      </w:r>
      <w:r>
        <w:tab/>
      </w:r>
      <w:r w:rsidR="004B168A">
        <w:tab/>
      </w:r>
      <w:r>
        <w:t>Fond rozvoje investičního majetku</w:t>
      </w:r>
    </w:p>
    <w:p w14:paraId="70C59C52" w14:textId="54754DB2" w:rsidR="00305A53" w:rsidRDefault="00305A53" w:rsidP="00B61893">
      <w:pPr>
        <w:spacing w:line="360" w:lineRule="auto"/>
      </w:pPr>
      <w:r>
        <w:t>FÚUP</w:t>
      </w:r>
      <w:r>
        <w:tab/>
      </w:r>
      <w:r>
        <w:tab/>
      </w:r>
      <w:r w:rsidR="004B168A">
        <w:tab/>
      </w:r>
      <w:r>
        <w:t>Fond účelově určených prostředků</w:t>
      </w:r>
    </w:p>
    <w:p w14:paraId="5FFC517F" w14:textId="1CF09448" w:rsidR="00B61893" w:rsidRDefault="00B61893" w:rsidP="00B61893">
      <w:pPr>
        <w:spacing w:line="360" w:lineRule="auto"/>
      </w:pPr>
      <w:r>
        <w:t>FZS</w:t>
      </w:r>
      <w:r>
        <w:tab/>
      </w:r>
      <w:r>
        <w:tab/>
      </w:r>
      <w:r w:rsidR="004B168A">
        <w:tab/>
      </w:r>
      <w:r>
        <w:t>Fakulta zdravotnických studií</w:t>
      </w:r>
    </w:p>
    <w:p w14:paraId="71B75DB2" w14:textId="13BBE047" w:rsidR="004B168A" w:rsidRDefault="004B168A" w:rsidP="00B61893">
      <w:pPr>
        <w:spacing w:line="360" w:lineRule="auto"/>
      </w:pPr>
      <w:r>
        <w:t>IGS</w:t>
      </w:r>
      <w:r>
        <w:tab/>
      </w:r>
      <w:r>
        <w:tab/>
      </w:r>
      <w:r>
        <w:tab/>
        <w:t>Interní grantová soutěž</w:t>
      </w:r>
    </w:p>
    <w:p w14:paraId="0C327C33" w14:textId="49D0E9EF" w:rsidR="00B61893" w:rsidRDefault="00B61893" w:rsidP="00B61893">
      <w:pPr>
        <w:spacing w:line="360" w:lineRule="auto"/>
        <w:jc w:val="both"/>
      </w:pPr>
      <w:r>
        <w:t>MŠMT</w:t>
      </w:r>
      <w:r>
        <w:tab/>
      </w:r>
      <w:r>
        <w:tab/>
      </w:r>
      <w:r w:rsidR="004B168A">
        <w:tab/>
      </w:r>
      <w:r>
        <w:t>Ministerstvo školství, mládeže a tělovýchovy</w:t>
      </w:r>
    </w:p>
    <w:p w14:paraId="3950100C" w14:textId="6EAB4E76" w:rsidR="00B61893" w:rsidRDefault="00B61893" w:rsidP="00B61893">
      <w:pPr>
        <w:spacing w:line="360" w:lineRule="auto"/>
        <w:jc w:val="both"/>
      </w:pPr>
      <w:r>
        <w:t>NIV</w:t>
      </w:r>
      <w:r>
        <w:tab/>
      </w:r>
      <w:r>
        <w:tab/>
      </w:r>
      <w:r w:rsidR="004B168A">
        <w:tab/>
      </w:r>
      <w:r>
        <w:t>Neinvestiční prostředky</w:t>
      </w:r>
    </w:p>
    <w:p w14:paraId="3D52F8BF" w14:textId="4C763246" w:rsidR="004B168A" w:rsidRDefault="004B168A" w:rsidP="00B61893">
      <w:pPr>
        <w:spacing w:line="360" w:lineRule="auto"/>
        <w:jc w:val="both"/>
      </w:pPr>
      <w:r>
        <w:t>NPO</w:t>
      </w:r>
      <w:r>
        <w:tab/>
      </w:r>
      <w:r>
        <w:tab/>
      </w:r>
      <w:r>
        <w:tab/>
        <w:t>Národní plán obnovy</w:t>
      </w:r>
    </w:p>
    <w:p w14:paraId="01DCF522" w14:textId="04C42AAC" w:rsidR="004B168A" w:rsidRDefault="004B168A" w:rsidP="00B61893">
      <w:pPr>
        <w:spacing w:line="360" w:lineRule="auto"/>
        <w:jc w:val="both"/>
      </w:pPr>
      <w:r>
        <w:t>OP JAK</w:t>
      </w:r>
      <w:r>
        <w:tab/>
      </w:r>
      <w:r>
        <w:tab/>
      </w:r>
      <w:r>
        <w:tab/>
        <w:t>Operační program Jan Amos Komenský</w:t>
      </w:r>
    </w:p>
    <w:p w14:paraId="57E4D8D8" w14:textId="4221566B" w:rsidR="00B61893" w:rsidRDefault="00B61893" w:rsidP="00B61893">
      <w:pPr>
        <w:spacing w:line="360" w:lineRule="auto"/>
        <w:jc w:val="both"/>
      </w:pPr>
      <w:r>
        <w:t>PN</w:t>
      </w:r>
      <w:r>
        <w:tab/>
      </w:r>
      <w:r>
        <w:tab/>
      </w:r>
      <w:r w:rsidR="004B168A">
        <w:tab/>
      </w:r>
      <w:r>
        <w:t>Pardubická nemocnice</w:t>
      </w:r>
    </w:p>
    <w:p w14:paraId="6696C450" w14:textId="13FD1C5E" w:rsidR="00305A53" w:rsidRDefault="00305A53" w:rsidP="00B61893">
      <w:pPr>
        <w:spacing w:line="360" w:lineRule="auto"/>
        <w:jc w:val="both"/>
      </w:pPr>
      <w:r>
        <w:t>SGS</w:t>
      </w:r>
      <w:r>
        <w:tab/>
      </w:r>
      <w:r>
        <w:tab/>
      </w:r>
      <w:r w:rsidR="004B168A">
        <w:tab/>
      </w:r>
      <w:r>
        <w:t>Studentská grantová soutěž</w:t>
      </w:r>
    </w:p>
    <w:p w14:paraId="7A4E51B6" w14:textId="5C005025" w:rsidR="008E015F" w:rsidRDefault="008E015F" w:rsidP="00B61893">
      <w:pPr>
        <w:spacing w:line="360" w:lineRule="auto"/>
        <w:jc w:val="both"/>
      </w:pPr>
      <w:r>
        <w:t>SZŠ</w:t>
      </w:r>
      <w:r>
        <w:tab/>
      </w:r>
      <w:r>
        <w:tab/>
      </w:r>
      <w:r>
        <w:tab/>
        <w:t>Střední zdravo</w:t>
      </w:r>
      <w:r w:rsidR="00471A47">
        <w:t>t</w:t>
      </w:r>
      <w:r>
        <w:t>nická škola Pardubice</w:t>
      </w:r>
    </w:p>
    <w:p w14:paraId="0BAEB8A3" w14:textId="5D8BAD5D" w:rsidR="006B7BFD" w:rsidRDefault="006B7BFD" w:rsidP="00B61893">
      <w:pPr>
        <w:spacing w:line="360" w:lineRule="auto"/>
        <w:jc w:val="both"/>
      </w:pPr>
      <w:r>
        <w:t>TAČR</w:t>
      </w:r>
      <w:r>
        <w:tab/>
      </w:r>
      <w:r>
        <w:tab/>
      </w:r>
      <w:r>
        <w:tab/>
        <w:t>Technologická agentura České republiky</w:t>
      </w:r>
    </w:p>
    <w:p w14:paraId="628F9C1D" w14:textId="365FAE04" w:rsidR="004B168A" w:rsidRDefault="004B168A" w:rsidP="00B61893">
      <w:pPr>
        <w:spacing w:line="360" w:lineRule="auto"/>
        <w:jc w:val="both"/>
      </w:pPr>
      <w:r>
        <w:t>UPCE</w:t>
      </w:r>
      <w:r>
        <w:tab/>
      </w:r>
      <w:r>
        <w:tab/>
      </w:r>
      <w:r>
        <w:tab/>
        <w:t>Univerzita Pardubice</w:t>
      </w:r>
    </w:p>
    <w:p w14:paraId="5C790B7E" w14:textId="49A1F602" w:rsidR="00B61893" w:rsidRDefault="00B61893" w:rsidP="00B61893">
      <w:pPr>
        <w:spacing w:line="360" w:lineRule="auto"/>
        <w:jc w:val="both"/>
      </w:pPr>
      <w:r>
        <w:tab/>
      </w:r>
      <w:r>
        <w:tab/>
      </w:r>
    </w:p>
    <w:p w14:paraId="0ADBB704" w14:textId="4B8FABE9" w:rsidR="00305A53" w:rsidRDefault="00305A53">
      <w:pPr>
        <w:spacing w:after="160" w:line="259" w:lineRule="auto"/>
      </w:pPr>
      <w:r>
        <w:br w:type="page"/>
      </w:r>
    </w:p>
    <w:p w14:paraId="0CFC14DE" w14:textId="3DB94FE8" w:rsidR="006C5C3C" w:rsidRDefault="006C5C3C" w:rsidP="00DD3894">
      <w:pPr>
        <w:jc w:val="both"/>
      </w:pPr>
    </w:p>
    <w:p w14:paraId="093B4729" w14:textId="42259522" w:rsidR="006C5C3C" w:rsidRDefault="006C5C3C" w:rsidP="00DD3894">
      <w:pPr>
        <w:jc w:val="both"/>
      </w:pPr>
    </w:p>
    <w:p w14:paraId="36D71DC2" w14:textId="759D5E3C" w:rsidR="006C5C3C" w:rsidRDefault="006C5C3C" w:rsidP="00DD3894">
      <w:pPr>
        <w:jc w:val="both"/>
      </w:pPr>
    </w:p>
    <w:p w14:paraId="31351DEE" w14:textId="5DCA104C" w:rsidR="006C5C3C" w:rsidRDefault="006C5C3C" w:rsidP="00DD3894">
      <w:pPr>
        <w:jc w:val="both"/>
      </w:pPr>
    </w:p>
    <w:p w14:paraId="2BE00F79" w14:textId="4DBE62F5" w:rsidR="006C5C3C" w:rsidRDefault="006C5C3C" w:rsidP="00DD3894">
      <w:pPr>
        <w:jc w:val="both"/>
      </w:pPr>
    </w:p>
    <w:p w14:paraId="1BE72E38" w14:textId="0EE4CC53" w:rsidR="006C5C3C" w:rsidRDefault="006C5C3C" w:rsidP="00DD3894">
      <w:pPr>
        <w:jc w:val="both"/>
      </w:pPr>
    </w:p>
    <w:p w14:paraId="7A7F458B" w14:textId="7F9BEAF1" w:rsidR="006C5C3C" w:rsidRDefault="006C5C3C" w:rsidP="00DD3894">
      <w:pPr>
        <w:jc w:val="both"/>
      </w:pPr>
    </w:p>
    <w:p w14:paraId="1B910CB9" w14:textId="26A1E1B6" w:rsidR="006C5C3C" w:rsidRDefault="006C5C3C" w:rsidP="00DD3894">
      <w:pPr>
        <w:jc w:val="both"/>
      </w:pPr>
    </w:p>
    <w:p w14:paraId="2B5CC80E" w14:textId="217378C3" w:rsidR="006C5C3C" w:rsidRDefault="006C5C3C" w:rsidP="00DD3894">
      <w:pPr>
        <w:jc w:val="both"/>
      </w:pPr>
    </w:p>
    <w:p w14:paraId="65EC82BD" w14:textId="3D608BD0" w:rsidR="006C5C3C" w:rsidRDefault="006C5C3C" w:rsidP="00DD3894">
      <w:pPr>
        <w:jc w:val="both"/>
      </w:pPr>
    </w:p>
    <w:p w14:paraId="3BE08DC5" w14:textId="30AB84ED" w:rsidR="006C5C3C" w:rsidRDefault="006C5C3C" w:rsidP="00DD3894">
      <w:pPr>
        <w:jc w:val="both"/>
      </w:pPr>
    </w:p>
    <w:p w14:paraId="3F174114" w14:textId="7A2872F4" w:rsidR="006C5C3C" w:rsidRDefault="006C5C3C" w:rsidP="00DD3894">
      <w:pPr>
        <w:jc w:val="both"/>
      </w:pPr>
    </w:p>
    <w:p w14:paraId="7CCF00E9" w14:textId="2C62D7AB" w:rsidR="006C5C3C" w:rsidRDefault="006C5C3C" w:rsidP="00DD3894">
      <w:pPr>
        <w:jc w:val="both"/>
      </w:pPr>
    </w:p>
    <w:p w14:paraId="66F879AF" w14:textId="6561221D" w:rsidR="006C5C3C" w:rsidRDefault="006C5C3C" w:rsidP="00DD3894">
      <w:pPr>
        <w:jc w:val="both"/>
      </w:pPr>
    </w:p>
    <w:p w14:paraId="5A668FD2" w14:textId="2BA84A99" w:rsidR="006C5C3C" w:rsidRDefault="006C5C3C" w:rsidP="00DD3894">
      <w:pPr>
        <w:jc w:val="both"/>
      </w:pPr>
    </w:p>
    <w:p w14:paraId="7242AB37" w14:textId="02AF62CE" w:rsidR="006C5C3C" w:rsidRDefault="006C5C3C" w:rsidP="00DD3894">
      <w:pPr>
        <w:jc w:val="both"/>
      </w:pPr>
    </w:p>
    <w:p w14:paraId="1D6E3C33" w14:textId="29082F52" w:rsidR="006C5C3C" w:rsidRDefault="006C5C3C" w:rsidP="00DD3894">
      <w:pPr>
        <w:jc w:val="both"/>
      </w:pPr>
    </w:p>
    <w:p w14:paraId="2A58FBDA" w14:textId="035D37F1" w:rsidR="006C5C3C" w:rsidRDefault="006C5C3C" w:rsidP="006C5C3C">
      <w:pPr>
        <w:jc w:val="both"/>
      </w:pPr>
      <w:r>
        <w:t>Výroční zpráva o hospodaření byla schválena Akademickým senátem Fakulty zdravotnických studií Univerzity Pardubice dne</w:t>
      </w:r>
      <w:r w:rsidR="001A1B2F">
        <w:t xml:space="preserve"> XXX</w:t>
      </w:r>
      <w:r w:rsidR="001F104F">
        <w:t>.</w:t>
      </w:r>
    </w:p>
    <w:p w14:paraId="32C292C4" w14:textId="77777777" w:rsidR="006C5C3C" w:rsidRDefault="006C5C3C" w:rsidP="006C5C3C">
      <w:pPr>
        <w:jc w:val="both"/>
      </w:pPr>
    </w:p>
    <w:p w14:paraId="6D85485C" w14:textId="77777777" w:rsidR="006C5C3C" w:rsidRDefault="006C5C3C" w:rsidP="006C5C3C">
      <w:pPr>
        <w:jc w:val="both"/>
      </w:pPr>
      <w:r>
        <w:t xml:space="preserve">Vydala: </w:t>
      </w:r>
      <w:r>
        <w:tab/>
      </w:r>
      <w:r>
        <w:tab/>
        <w:t>Univerzita Pardubice, Fakulta zdravotnických studií</w:t>
      </w:r>
    </w:p>
    <w:p w14:paraId="2D35E57D" w14:textId="77777777" w:rsidR="006C5C3C" w:rsidRDefault="006C5C3C" w:rsidP="006C5C3C">
      <w:pPr>
        <w:jc w:val="both"/>
      </w:pPr>
      <w:r>
        <w:t xml:space="preserve">Adresa: </w:t>
      </w:r>
      <w:r>
        <w:tab/>
      </w:r>
      <w:r>
        <w:tab/>
        <w:t>Univerzita Pardubice, Fakulta zdravotnických studií</w:t>
      </w:r>
    </w:p>
    <w:p w14:paraId="07B1ADD4" w14:textId="5C27D779" w:rsidR="006C5C3C" w:rsidRDefault="006C5C3C" w:rsidP="006C5C3C">
      <w:pPr>
        <w:jc w:val="both"/>
      </w:pPr>
      <w:r>
        <w:tab/>
      </w:r>
      <w:r>
        <w:tab/>
      </w:r>
      <w:r>
        <w:tab/>
        <w:t>Průmyslová 395, 532 10 Pardubice – Černá za Bory</w:t>
      </w:r>
    </w:p>
    <w:p w14:paraId="46664115" w14:textId="7F8212BF" w:rsidR="006C5C3C" w:rsidRDefault="006C5C3C" w:rsidP="006C5C3C">
      <w:pPr>
        <w:jc w:val="both"/>
      </w:pPr>
      <w:r>
        <w:tab/>
      </w:r>
      <w:r>
        <w:tab/>
      </w:r>
      <w:r>
        <w:tab/>
        <w:t>http://www.upce.cz/fzs/</w:t>
      </w:r>
    </w:p>
    <w:p w14:paraId="3A0C2F83" w14:textId="3C1628C4" w:rsidR="006C5C3C" w:rsidRDefault="006C5C3C" w:rsidP="006C5C3C">
      <w:pPr>
        <w:jc w:val="both"/>
      </w:pPr>
      <w:r>
        <w:t xml:space="preserve">Zpracovala: </w:t>
      </w:r>
      <w:r>
        <w:tab/>
      </w:r>
      <w:r>
        <w:tab/>
        <w:t xml:space="preserve"> Ing. Hana Theer Vítková</w:t>
      </w:r>
    </w:p>
    <w:p w14:paraId="68BE02AB" w14:textId="1C54CEF5" w:rsidR="001B6EE3" w:rsidRDefault="001B6EE3" w:rsidP="00DD3894">
      <w:pPr>
        <w:jc w:val="both"/>
      </w:pPr>
    </w:p>
    <w:p w14:paraId="630F4B97" w14:textId="77777777" w:rsidR="001B6EE3" w:rsidRDefault="001B6EE3">
      <w:pPr>
        <w:spacing w:after="160" w:line="259" w:lineRule="auto"/>
        <w:sectPr w:rsidR="001B6EE3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6B544E82" w14:textId="5BBDBC86" w:rsidR="006C5C3C" w:rsidRPr="002D2B32" w:rsidRDefault="001B6EE3" w:rsidP="00DD3894">
      <w:pPr>
        <w:jc w:val="both"/>
      </w:pPr>
      <w:r>
        <w:rPr>
          <w:noProof/>
        </w:rPr>
        <w:lastRenderedPageBreak/>
        <w:drawing>
          <wp:inline distT="0" distB="0" distL="0" distR="0" wp14:anchorId="0C70A989" wp14:editId="71417190">
            <wp:extent cx="7429500" cy="105016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369" cy="10519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5C3C" w:rsidRPr="002D2B32" w:rsidSect="001B6EE3">
      <w:pgSz w:w="11906" w:h="16838"/>
      <w:pgMar w:top="1418" w:right="57" w:bottom="1418" w:left="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5610" w14:textId="77777777" w:rsidR="000224A2" w:rsidRDefault="000224A2" w:rsidP="00E17DC5">
      <w:pPr>
        <w:spacing w:line="240" w:lineRule="auto"/>
      </w:pPr>
      <w:r>
        <w:separator/>
      </w:r>
    </w:p>
  </w:endnote>
  <w:endnote w:type="continuationSeparator" w:id="0">
    <w:p w14:paraId="7885976F" w14:textId="77777777" w:rsidR="000224A2" w:rsidRDefault="000224A2" w:rsidP="00E17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396996"/>
      <w:docPartObj>
        <w:docPartGallery w:val="Page Numbers (Bottom of Page)"/>
        <w:docPartUnique/>
      </w:docPartObj>
    </w:sdtPr>
    <w:sdtContent>
      <w:p w14:paraId="374CCF5C" w14:textId="577B9226" w:rsidR="00E17DC5" w:rsidRDefault="00E17D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021A1" w14:textId="77777777" w:rsidR="00E17DC5" w:rsidRDefault="00E17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A205" w14:textId="77777777" w:rsidR="000224A2" w:rsidRDefault="000224A2" w:rsidP="00E17DC5">
      <w:pPr>
        <w:spacing w:line="240" w:lineRule="auto"/>
      </w:pPr>
      <w:r>
        <w:separator/>
      </w:r>
    </w:p>
  </w:footnote>
  <w:footnote w:type="continuationSeparator" w:id="0">
    <w:p w14:paraId="50B707EB" w14:textId="77777777" w:rsidR="000224A2" w:rsidRDefault="000224A2" w:rsidP="00E17D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7E87"/>
    <w:multiLevelType w:val="multilevel"/>
    <w:tmpl w:val="A628C7F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B15BB1"/>
    <w:multiLevelType w:val="hybridMultilevel"/>
    <w:tmpl w:val="D52229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1337">
    <w:abstractNumId w:val="0"/>
  </w:num>
  <w:num w:numId="2" w16cid:durableId="1809666973">
    <w:abstractNumId w:val="1"/>
  </w:num>
  <w:num w:numId="3" w16cid:durableId="6261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40"/>
    <w:rsid w:val="00011087"/>
    <w:rsid w:val="00011C10"/>
    <w:rsid w:val="00016243"/>
    <w:rsid w:val="000224A2"/>
    <w:rsid w:val="00022738"/>
    <w:rsid w:val="00022B11"/>
    <w:rsid w:val="00027ADD"/>
    <w:rsid w:val="000347EF"/>
    <w:rsid w:val="0003498B"/>
    <w:rsid w:val="000416E0"/>
    <w:rsid w:val="000427BC"/>
    <w:rsid w:val="00042878"/>
    <w:rsid w:val="00046FD6"/>
    <w:rsid w:val="00052ED3"/>
    <w:rsid w:val="00055288"/>
    <w:rsid w:val="00063B91"/>
    <w:rsid w:val="000649C7"/>
    <w:rsid w:val="00073670"/>
    <w:rsid w:val="00082590"/>
    <w:rsid w:val="00082BE0"/>
    <w:rsid w:val="0008327A"/>
    <w:rsid w:val="000845BA"/>
    <w:rsid w:val="000865D8"/>
    <w:rsid w:val="00086828"/>
    <w:rsid w:val="00096FAD"/>
    <w:rsid w:val="000A53D8"/>
    <w:rsid w:val="000B374E"/>
    <w:rsid w:val="000B5B16"/>
    <w:rsid w:val="000D0860"/>
    <w:rsid w:val="000E719F"/>
    <w:rsid w:val="000F021E"/>
    <w:rsid w:val="00102D40"/>
    <w:rsid w:val="00111264"/>
    <w:rsid w:val="0011784C"/>
    <w:rsid w:val="00117A18"/>
    <w:rsid w:val="00124493"/>
    <w:rsid w:val="00124DE4"/>
    <w:rsid w:val="00127077"/>
    <w:rsid w:val="00146ED3"/>
    <w:rsid w:val="0015506B"/>
    <w:rsid w:val="0016187E"/>
    <w:rsid w:val="0016415B"/>
    <w:rsid w:val="00173275"/>
    <w:rsid w:val="00174096"/>
    <w:rsid w:val="001810DE"/>
    <w:rsid w:val="00187273"/>
    <w:rsid w:val="00195D10"/>
    <w:rsid w:val="001A1B2F"/>
    <w:rsid w:val="001B6EE3"/>
    <w:rsid w:val="001C0F78"/>
    <w:rsid w:val="001C4ED3"/>
    <w:rsid w:val="001D69EB"/>
    <w:rsid w:val="001E00E1"/>
    <w:rsid w:val="001E2F36"/>
    <w:rsid w:val="001E4838"/>
    <w:rsid w:val="001E6AAC"/>
    <w:rsid w:val="001F01A4"/>
    <w:rsid w:val="001F104F"/>
    <w:rsid w:val="001F2587"/>
    <w:rsid w:val="001F5006"/>
    <w:rsid w:val="001F5820"/>
    <w:rsid w:val="001F5972"/>
    <w:rsid w:val="00200DB9"/>
    <w:rsid w:val="00217CB3"/>
    <w:rsid w:val="00240C1B"/>
    <w:rsid w:val="00256C1B"/>
    <w:rsid w:val="002607E8"/>
    <w:rsid w:val="00261EDD"/>
    <w:rsid w:val="00266A07"/>
    <w:rsid w:val="00274760"/>
    <w:rsid w:val="00275667"/>
    <w:rsid w:val="00275A8B"/>
    <w:rsid w:val="00282C4D"/>
    <w:rsid w:val="00283937"/>
    <w:rsid w:val="00285751"/>
    <w:rsid w:val="002930CD"/>
    <w:rsid w:val="002A0749"/>
    <w:rsid w:val="002A418E"/>
    <w:rsid w:val="002A5F21"/>
    <w:rsid w:val="002B2283"/>
    <w:rsid w:val="002B382D"/>
    <w:rsid w:val="002B3994"/>
    <w:rsid w:val="002B3DCB"/>
    <w:rsid w:val="002C20A7"/>
    <w:rsid w:val="002C23FD"/>
    <w:rsid w:val="002C66DA"/>
    <w:rsid w:val="002D117B"/>
    <w:rsid w:val="002D1407"/>
    <w:rsid w:val="002D1B7E"/>
    <w:rsid w:val="002D2B32"/>
    <w:rsid w:val="002F556E"/>
    <w:rsid w:val="00305A53"/>
    <w:rsid w:val="00314BFF"/>
    <w:rsid w:val="00314E14"/>
    <w:rsid w:val="00317CB2"/>
    <w:rsid w:val="003238E5"/>
    <w:rsid w:val="00342A26"/>
    <w:rsid w:val="00347E81"/>
    <w:rsid w:val="00352FE8"/>
    <w:rsid w:val="00355833"/>
    <w:rsid w:val="003729C3"/>
    <w:rsid w:val="00372D11"/>
    <w:rsid w:val="00390548"/>
    <w:rsid w:val="003A2A9A"/>
    <w:rsid w:val="003A52D6"/>
    <w:rsid w:val="003A59CB"/>
    <w:rsid w:val="003B1852"/>
    <w:rsid w:val="003B480C"/>
    <w:rsid w:val="003C5B38"/>
    <w:rsid w:val="003D0C4B"/>
    <w:rsid w:val="003F2870"/>
    <w:rsid w:val="003F6842"/>
    <w:rsid w:val="003F7124"/>
    <w:rsid w:val="003F7ECB"/>
    <w:rsid w:val="00403BB3"/>
    <w:rsid w:val="0040469B"/>
    <w:rsid w:val="004057B4"/>
    <w:rsid w:val="00420147"/>
    <w:rsid w:val="00421F0D"/>
    <w:rsid w:val="0044208A"/>
    <w:rsid w:val="00443936"/>
    <w:rsid w:val="00444622"/>
    <w:rsid w:val="00455A7B"/>
    <w:rsid w:val="004664C5"/>
    <w:rsid w:val="00471A11"/>
    <w:rsid w:val="00471A47"/>
    <w:rsid w:val="00472FF8"/>
    <w:rsid w:val="004A0526"/>
    <w:rsid w:val="004A447A"/>
    <w:rsid w:val="004A5A18"/>
    <w:rsid w:val="004A621A"/>
    <w:rsid w:val="004B168A"/>
    <w:rsid w:val="004B2C74"/>
    <w:rsid w:val="004B36B0"/>
    <w:rsid w:val="004C004C"/>
    <w:rsid w:val="004C3859"/>
    <w:rsid w:val="004D22A3"/>
    <w:rsid w:val="004D5DD6"/>
    <w:rsid w:val="004D6ABE"/>
    <w:rsid w:val="004E2733"/>
    <w:rsid w:val="004E6674"/>
    <w:rsid w:val="004E78DA"/>
    <w:rsid w:val="004F3226"/>
    <w:rsid w:val="00501922"/>
    <w:rsid w:val="00504C5C"/>
    <w:rsid w:val="00507997"/>
    <w:rsid w:val="005116E7"/>
    <w:rsid w:val="00512134"/>
    <w:rsid w:val="00512406"/>
    <w:rsid w:val="00512A5A"/>
    <w:rsid w:val="00512B5F"/>
    <w:rsid w:val="00516DAA"/>
    <w:rsid w:val="00522383"/>
    <w:rsid w:val="00524F3E"/>
    <w:rsid w:val="0053691F"/>
    <w:rsid w:val="0055012C"/>
    <w:rsid w:val="00550D60"/>
    <w:rsid w:val="0056501E"/>
    <w:rsid w:val="00583073"/>
    <w:rsid w:val="00587B88"/>
    <w:rsid w:val="00594F49"/>
    <w:rsid w:val="005A3D83"/>
    <w:rsid w:val="005A62F8"/>
    <w:rsid w:val="005B624F"/>
    <w:rsid w:val="005B6AE1"/>
    <w:rsid w:val="005C0499"/>
    <w:rsid w:val="005C6CC6"/>
    <w:rsid w:val="005C6CE8"/>
    <w:rsid w:val="005D79D1"/>
    <w:rsid w:val="005F0457"/>
    <w:rsid w:val="005F4A0C"/>
    <w:rsid w:val="00613A98"/>
    <w:rsid w:val="006173E2"/>
    <w:rsid w:val="00632E78"/>
    <w:rsid w:val="00637D96"/>
    <w:rsid w:val="006416CA"/>
    <w:rsid w:val="0064294A"/>
    <w:rsid w:val="00647837"/>
    <w:rsid w:val="006562C4"/>
    <w:rsid w:val="00667FEE"/>
    <w:rsid w:val="00672261"/>
    <w:rsid w:val="0067569B"/>
    <w:rsid w:val="00682804"/>
    <w:rsid w:val="0068283B"/>
    <w:rsid w:val="00690F37"/>
    <w:rsid w:val="0069120C"/>
    <w:rsid w:val="006930A0"/>
    <w:rsid w:val="006B3F6E"/>
    <w:rsid w:val="006B4DD5"/>
    <w:rsid w:val="006B594C"/>
    <w:rsid w:val="006B7BFD"/>
    <w:rsid w:val="006C5C3C"/>
    <w:rsid w:val="006D0556"/>
    <w:rsid w:val="006D2F77"/>
    <w:rsid w:val="006D4D6E"/>
    <w:rsid w:val="006E13BE"/>
    <w:rsid w:val="006E14D3"/>
    <w:rsid w:val="006E3D0E"/>
    <w:rsid w:val="0070090A"/>
    <w:rsid w:val="0070098F"/>
    <w:rsid w:val="0070441C"/>
    <w:rsid w:val="007060CB"/>
    <w:rsid w:val="007115E6"/>
    <w:rsid w:val="00712560"/>
    <w:rsid w:val="00714557"/>
    <w:rsid w:val="00715E87"/>
    <w:rsid w:val="00720906"/>
    <w:rsid w:val="0072306A"/>
    <w:rsid w:val="00726B0B"/>
    <w:rsid w:val="00727246"/>
    <w:rsid w:val="0072740B"/>
    <w:rsid w:val="00730449"/>
    <w:rsid w:val="00733F28"/>
    <w:rsid w:val="007419F9"/>
    <w:rsid w:val="00760057"/>
    <w:rsid w:val="007658FF"/>
    <w:rsid w:val="007725B2"/>
    <w:rsid w:val="00772D46"/>
    <w:rsid w:val="00772E8D"/>
    <w:rsid w:val="00775836"/>
    <w:rsid w:val="007771BE"/>
    <w:rsid w:val="00777C0F"/>
    <w:rsid w:val="007810A7"/>
    <w:rsid w:val="0078759E"/>
    <w:rsid w:val="007A1339"/>
    <w:rsid w:val="007B072B"/>
    <w:rsid w:val="007C0BD6"/>
    <w:rsid w:val="007D4DD6"/>
    <w:rsid w:val="007E2CFD"/>
    <w:rsid w:val="007E5043"/>
    <w:rsid w:val="007E51AB"/>
    <w:rsid w:val="007E5FEB"/>
    <w:rsid w:val="007E6902"/>
    <w:rsid w:val="007F2001"/>
    <w:rsid w:val="008054E7"/>
    <w:rsid w:val="008061CB"/>
    <w:rsid w:val="008121F5"/>
    <w:rsid w:val="00825205"/>
    <w:rsid w:val="00830581"/>
    <w:rsid w:val="00837734"/>
    <w:rsid w:val="008464F3"/>
    <w:rsid w:val="00847E38"/>
    <w:rsid w:val="00851BDB"/>
    <w:rsid w:val="0085631F"/>
    <w:rsid w:val="0086488A"/>
    <w:rsid w:val="00873BED"/>
    <w:rsid w:val="00885A5F"/>
    <w:rsid w:val="00890A34"/>
    <w:rsid w:val="00891106"/>
    <w:rsid w:val="008A1D92"/>
    <w:rsid w:val="008A35C0"/>
    <w:rsid w:val="008C3236"/>
    <w:rsid w:val="008D63C9"/>
    <w:rsid w:val="008D6ACC"/>
    <w:rsid w:val="008E015F"/>
    <w:rsid w:val="008E39A5"/>
    <w:rsid w:val="008E3B65"/>
    <w:rsid w:val="008F3182"/>
    <w:rsid w:val="008F3A5D"/>
    <w:rsid w:val="008F6197"/>
    <w:rsid w:val="00920CD6"/>
    <w:rsid w:val="00923564"/>
    <w:rsid w:val="009243FF"/>
    <w:rsid w:val="00950013"/>
    <w:rsid w:val="00951EC6"/>
    <w:rsid w:val="00953F71"/>
    <w:rsid w:val="00955282"/>
    <w:rsid w:val="009578FC"/>
    <w:rsid w:val="00964942"/>
    <w:rsid w:val="009654C5"/>
    <w:rsid w:val="00965D83"/>
    <w:rsid w:val="0098297E"/>
    <w:rsid w:val="009873D9"/>
    <w:rsid w:val="00990565"/>
    <w:rsid w:val="00994F7A"/>
    <w:rsid w:val="00995C10"/>
    <w:rsid w:val="00995F87"/>
    <w:rsid w:val="009A04D2"/>
    <w:rsid w:val="009A0F0C"/>
    <w:rsid w:val="009A3C41"/>
    <w:rsid w:val="009A5D9D"/>
    <w:rsid w:val="009B052D"/>
    <w:rsid w:val="009B39BD"/>
    <w:rsid w:val="009C1C3B"/>
    <w:rsid w:val="009D30AD"/>
    <w:rsid w:val="009D32A9"/>
    <w:rsid w:val="009D59E2"/>
    <w:rsid w:val="009E1ECF"/>
    <w:rsid w:val="009F5105"/>
    <w:rsid w:val="009F5971"/>
    <w:rsid w:val="00A0258E"/>
    <w:rsid w:val="00A06785"/>
    <w:rsid w:val="00A12CD6"/>
    <w:rsid w:val="00A15809"/>
    <w:rsid w:val="00A2220A"/>
    <w:rsid w:val="00A43CFA"/>
    <w:rsid w:val="00A5461A"/>
    <w:rsid w:val="00A54699"/>
    <w:rsid w:val="00A82728"/>
    <w:rsid w:val="00A8789F"/>
    <w:rsid w:val="00AA1023"/>
    <w:rsid w:val="00AA16CF"/>
    <w:rsid w:val="00AA305E"/>
    <w:rsid w:val="00AB652B"/>
    <w:rsid w:val="00AD0AEB"/>
    <w:rsid w:val="00AD3844"/>
    <w:rsid w:val="00AD388F"/>
    <w:rsid w:val="00AD770F"/>
    <w:rsid w:val="00AE4D29"/>
    <w:rsid w:val="00AE735B"/>
    <w:rsid w:val="00AF2395"/>
    <w:rsid w:val="00B14FE0"/>
    <w:rsid w:val="00B22243"/>
    <w:rsid w:val="00B23905"/>
    <w:rsid w:val="00B30E66"/>
    <w:rsid w:val="00B31F48"/>
    <w:rsid w:val="00B40049"/>
    <w:rsid w:val="00B57115"/>
    <w:rsid w:val="00B61893"/>
    <w:rsid w:val="00B62473"/>
    <w:rsid w:val="00B6393D"/>
    <w:rsid w:val="00B661F7"/>
    <w:rsid w:val="00B706DF"/>
    <w:rsid w:val="00B74099"/>
    <w:rsid w:val="00B76F07"/>
    <w:rsid w:val="00B77C0D"/>
    <w:rsid w:val="00B8629E"/>
    <w:rsid w:val="00B86C92"/>
    <w:rsid w:val="00B95679"/>
    <w:rsid w:val="00B9614A"/>
    <w:rsid w:val="00B961FC"/>
    <w:rsid w:val="00B96AD0"/>
    <w:rsid w:val="00BA0871"/>
    <w:rsid w:val="00BA1D98"/>
    <w:rsid w:val="00BB35FA"/>
    <w:rsid w:val="00BB3986"/>
    <w:rsid w:val="00BB3AB6"/>
    <w:rsid w:val="00BB5239"/>
    <w:rsid w:val="00BB53AA"/>
    <w:rsid w:val="00BB6429"/>
    <w:rsid w:val="00BC176F"/>
    <w:rsid w:val="00BC2CFB"/>
    <w:rsid w:val="00BC3593"/>
    <w:rsid w:val="00BC48CF"/>
    <w:rsid w:val="00BC74FE"/>
    <w:rsid w:val="00BD5F74"/>
    <w:rsid w:val="00BE0068"/>
    <w:rsid w:val="00BE43E4"/>
    <w:rsid w:val="00BF14F9"/>
    <w:rsid w:val="00BF2A0A"/>
    <w:rsid w:val="00BF41DD"/>
    <w:rsid w:val="00BF56AF"/>
    <w:rsid w:val="00C01DE5"/>
    <w:rsid w:val="00C062CE"/>
    <w:rsid w:val="00C0760F"/>
    <w:rsid w:val="00C157E1"/>
    <w:rsid w:val="00C22737"/>
    <w:rsid w:val="00C2298D"/>
    <w:rsid w:val="00C23C9D"/>
    <w:rsid w:val="00C24123"/>
    <w:rsid w:val="00C25B94"/>
    <w:rsid w:val="00C3486B"/>
    <w:rsid w:val="00C622D7"/>
    <w:rsid w:val="00C666D8"/>
    <w:rsid w:val="00C72B8B"/>
    <w:rsid w:val="00C771CC"/>
    <w:rsid w:val="00C77C31"/>
    <w:rsid w:val="00C846E4"/>
    <w:rsid w:val="00C85EA9"/>
    <w:rsid w:val="00C9188E"/>
    <w:rsid w:val="00C933F3"/>
    <w:rsid w:val="00C94FB7"/>
    <w:rsid w:val="00C95C2C"/>
    <w:rsid w:val="00CA3685"/>
    <w:rsid w:val="00CC1ADF"/>
    <w:rsid w:val="00CC64AB"/>
    <w:rsid w:val="00CD5858"/>
    <w:rsid w:val="00CD7D1C"/>
    <w:rsid w:val="00CE7604"/>
    <w:rsid w:val="00CF20DE"/>
    <w:rsid w:val="00CF3989"/>
    <w:rsid w:val="00D00B18"/>
    <w:rsid w:val="00D03A98"/>
    <w:rsid w:val="00D105A9"/>
    <w:rsid w:val="00D1463A"/>
    <w:rsid w:val="00D23E47"/>
    <w:rsid w:val="00D241AA"/>
    <w:rsid w:val="00D26BB1"/>
    <w:rsid w:val="00D303BD"/>
    <w:rsid w:val="00D31406"/>
    <w:rsid w:val="00D3439B"/>
    <w:rsid w:val="00D35328"/>
    <w:rsid w:val="00D44626"/>
    <w:rsid w:val="00D54640"/>
    <w:rsid w:val="00D6750E"/>
    <w:rsid w:val="00D7559A"/>
    <w:rsid w:val="00D8056E"/>
    <w:rsid w:val="00D9201E"/>
    <w:rsid w:val="00D93676"/>
    <w:rsid w:val="00DA2C5C"/>
    <w:rsid w:val="00DA5AB8"/>
    <w:rsid w:val="00DA6228"/>
    <w:rsid w:val="00DB31AB"/>
    <w:rsid w:val="00DC27C2"/>
    <w:rsid w:val="00DC3876"/>
    <w:rsid w:val="00DC486E"/>
    <w:rsid w:val="00DC5DFE"/>
    <w:rsid w:val="00DD3894"/>
    <w:rsid w:val="00DD3F64"/>
    <w:rsid w:val="00E17DC5"/>
    <w:rsid w:val="00E20E22"/>
    <w:rsid w:val="00E24BA3"/>
    <w:rsid w:val="00E354FB"/>
    <w:rsid w:val="00E377FD"/>
    <w:rsid w:val="00E41D56"/>
    <w:rsid w:val="00E42F20"/>
    <w:rsid w:val="00E51E71"/>
    <w:rsid w:val="00E54546"/>
    <w:rsid w:val="00E60D31"/>
    <w:rsid w:val="00E61A59"/>
    <w:rsid w:val="00E70E8F"/>
    <w:rsid w:val="00E72498"/>
    <w:rsid w:val="00E9293F"/>
    <w:rsid w:val="00EA2FDF"/>
    <w:rsid w:val="00EA4C22"/>
    <w:rsid w:val="00EC3F4A"/>
    <w:rsid w:val="00EE1B4B"/>
    <w:rsid w:val="00EE29FC"/>
    <w:rsid w:val="00EF0BA7"/>
    <w:rsid w:val="00EF6D9C"/>
    <w:rsid w:val="00EF6DCA"/>
    <w:rsid w:val="00F01866"/>
    <w:rsid w:val="00F0482E"/>
    <w:rsid w:val="00F04F45"/>
    <w:rsid w:val="00F066CE"/>
    <w:rsid w:val="00F06A74"/>
    <w:rsid w:val="00F115FE"/>
    <w:rsid w:val="00F13EDA"/>
    <w:rsid w:val="00F14504"/>
    <w:rsid w:val="00F21A56"/>
    <w:rsid w:val="00F260D1"/>
    <w:rsid w:val="00F3221B"/>
    <w:rsid w:val="00F358DC"/>
    <w:rsid w:val="00F553C5"/>
    <w:rsid w:val="00F6032B"/>
    <w:rsid w:val="00F622A7"/>
    <w:rsid w:val="00F62C68"/>
    <w:rsid w:val="00F67C81"/>
    <w:rsid w:val="00F76C5F"/>
    <w:rsid w:val="00F91099"/>
    <w:rsid w:val="00F96661"/>
    <w:rsid w:val="00FA0B63"/>
    <w:rsid w:val="00FA3AFA"/>
    <w:rsid w:val="00FA3D57"/>
    <w:rsid w:val="00FA72F6"/>
    <w:rsid w:val="00FB50C2"/>
    <w:rsid w:val="00FC3B7A"/>
    <w:rsid w:val="00FC3D01"/>
    <w:rsid w:val="00FC5F8F"/>
    <w:rsid w:val="00FD464A"/>
    <w:rsid w:val="00FE7414"/>
    <w:rsid w:val="00FF71DC"/>
    <w:rsid w:val="4F5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5F18A"/>
  <w15:chartTrackingRefBased/>
  <w15:docId w15:val="{42AD15C4-4677-429F-A9AB-CBBBF40A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text odstavce"/>
    <w:qFormat/>
    <w:rsid w:val="00EE29FC"/>
    <w:pPr>
      <w:spacing w:after="0" w:line="300" w:lineRule="atLeas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lavní nadpis"/>
    <w:basedOn w:val="Normln"/>
    <w:next w:val="Normln"/>
    <w:link w:val="Nadpis1Char"/>
    <w:qFormat/>
    <w:rsid w:val="00352FE8"/>
    <w:pPr>
      <w:keepNext/>
      <w:pageBreakBefore/>
      <w:numPr>
        <w:numId w:val="1"/>
      </w:numPr>
      <w:pBdr>
        <w:bottom w:val="single" w:sz="18" w:space="1" w:color="C0C0C0"/>
      </w:pBdr>
      <w:spacing w:after="240"/>
      <w:outlineLvl w:val="0"/>
    </w:pPr>
    <w:rPr>
      <w:rFonts w:cs="Arial"/>
      <w:b/>
      <w:bCs/>
      <w:caps/>
      <w:color w:val="4C9DC5"/>
      <w:kern w:val="32"/>
      <w:sz w:val="44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EE29FC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2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lavní nadpis Char"/>
    <w:basedOn w:val="Standardnpsmoodstavce"/>
    <w:link w:val="Nadpis1"/>
    <w:rsid w:val="00352FE8"/>
    <w:rPr>
      <w:rFonts w:ascii="Calibri" w:eastAsia="Times New Roman" w:hAnsi="Calibri" w:cs="Arial"/>
      <w:b/>
      <w:bCs/>
      <w:caps/>
      <w:color w:val="4C9DC5"/>
      <w:kern w:val="32"/>
      <w:sz w:val="44"/>
      <w:szCs w:val="32"/>
      <w:lang w:eastAsia="cs-CZ"/>
    </w:rPr>
  </w:style>
  <w:style w:type="character" w:styleId="Hypertextovodkaz">
    <w:name w:val="Hyperlink"/>
    <w:uiPriority w:val="99"/>
    <w:rsid w:val="00D54640"/>
    <w:rPr>
      <w:color w:val="0000FF"/>
      <w:u w:val="single"/>
    </w:rPr>
  </w:style>
  <w:style w:type="paragraph" w:styleId="Obsah1">
    <w:name w:val="toc 1"/>
    <w:basedOn w:val="Normln"/>
    <w:next w:val="Normln"/>
    <w:uiPriority w:val="39"/>
    <w:rsid w:val="00D54640"/>
    <w:pPr>
      <w:keepNext/>
      <w:tabs>
        <w:tab w:val="right" w:leader="dot" w:pos="8504"/>
      </w:tabs>
      <w:spacing w:before="120"/>
    </w:pPr>
    <w:rPr>
      <w:b/>
      <w:noProof/>
    </w:rPr>
  </w:style>
  <w:style w:type="paragraph" w:styleId="Obsah2">
    <w:name w:val="toc 2"/>
    <w:basedOn w:val="Normln"/>
    <w:next w:val="Normln"/>
    <w:uiPriority w:val="39"/>
    <w:rsid w:val="00D54640"/>
    <w:pPr>
      <w:tabs>
        <w:tab w:val="left" w:pos="567"/>
        <w:tab w:val="right" w:leader="dot" w:pos="8504"/>
      </w:tabs>
      <w:ind w:left="567" w:right="567" w:hanging="567"/>
    </w:pPr>
    <w:rPr>
      <w:noProof/>
    </w:rPr>
  </w:style>
  <w:style w:type="paragraph" w:customStyle="1" w:styleId="Nadpis1bezobsahu">
    <w:name w:val="Nadpis 1 bez obsahu"/>
    <w:basedOn w:val="Nadpis1"/>
    <w:qFormat/>
    <w:rsid w:val="00550D60"/>
    <w:pPr>
      <w:tabs>
        <w:tab w:val="num" w:pos="720"/>
      </w:tabs>
      <w:ind w:left="720" w:hanging="720"/>
    </w:pPr>
    <w:rPr>
      <w:color w:val="00AEEF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EE29FC"/>
    <w:rPr>
      <w:rFonts w:ascii="Calibri" w:eastAsiaTheme="majorEastAsia" w:hAnsi="Calibri" w:cstheme="majorBidi"/>
      <w:b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E29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9FC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29FC"/>
    <w:rPr>
      <w:rFonts w:eastAsiaTheme="minorEastAsia"/>
      <w:b/>
      <w:spacing w:val="15"/>
      <w:lang w:eastAsia="cs-CZ"/>
    </w:rPr>
  </w:style>
  <w:style w:type="paragraph" w:customStyle="1" w:styleId="Poznamka">
    <w:name w:val="Poznamka"/>
    <w:basedOn w:val="Podnadpis"/>
    <w:link w:val="PoznamkaChar"/>
    <w:qFormat/>
    <w:rsid w:val="00EE29FC"/>
    <w:rPr>
      <w:b w:val="0"/>
      <w:sz w:val="18"/>
    </w:rPr>
  </w:style>
  <w:style w:type="character" w:customStyle="1" w:styleId="PoznamkaChar">
    <w:name w:val="Poznamka Char"/>
    <w:basedOn w:val="PodnadpisChar"/>
    <w:link w:val="Poznamka"/>
    <w:rsid w:val="00EE29FC"/>
    <w:rPr>
      <w:rFonts w:eastAsiaTheme="minorEastAsia"/>
      <w:b w:val="0"/>
      <w:spacing w:val="15"/>
      <w:sz w:val="18"/>
      <w:lang w:eastAsia="cs-CZ"/>
    </w:rPr>
  </w:style>
  <w:style w:type="paragraph" w:customStyle="1" w:styleId="Denisa">
    <w:name w:val="Denisa"/>
    <w:basedOn w:val="Prosttext"/>
    <w:qFormat/>
    <w:rsid w:val="00512134"/>
    <w:pPr>
      <w:spacing w:before="240" w:after="240"/>
    </w:pPr>
    <w:rPr>
      <w:rFonts w:ascii="Times New Roman" w:eastAsia="Calibri" w:hAnsi="Times New Roman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1213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2134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52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0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0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569B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17D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DC5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D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DC5"/>
    <w:rPr>
      <w:rFonts w:ascii="Calibri" w:eastAsia="Times New Roman" w:hAnsi="Calibri" w:cs="Times New Roman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4D22A3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7115E6"/>
    <w:pPr>
      <w:keepLines/>
      <w:pageBreakBefore w:val="0"/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https://unipardubice-my.sharepoint.com/personal/hath3393_upce_cz/Documents/Plocha/Tajemn&#237;k/V&#253;ro&#269;n&#237;%20zpr&#225;va/2025/hospoda&#345;en&#237;/v&#253;ro&#269;n&#237;%20zpr&#225;va%202025%20-%20podklady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pardubice-my.sharepoint.com/personal/hath3393_upce_cz/Documents/Plocha/Tajemn&#237;k/V&#253;ro&#269;n&#237;%20zpr&#225;va/2025/hospoda&#345;en&#237;/v&#253;ro&#269;n&#237;%20zpr&#225;va%202025%20-%20podklad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882427076479064E-2"/>
          <c:y val="0.19309370072820922"/>
          <c:w val="0.59735876435754653"/>
          <c:h val="0.75055829372745453"/>
        </c:manualLayout>
      </c:layout>
      <c:pie3DChart>
        <c:varyColors val="1"/>
        <c:ser>
          <c:idx val="0"/>
          <c:order val="0"/>
          <c:tx>
            <c:strRef>
              <c:f>Výnosy_2025_graf!$B$3:$B$9</c:f>
              <c:strCache>
                <c:ptCount val="7"/>
                <c:pt idx="0">
                  <c:v>Vzdělávací činnost - příspěvek</c:v>
                </c:pt>
                <c:pt idx="1">
                  <c:v>Vzdělávací projekty (KAPACITY+)</c:v>
                </c:pt>
                <c:pt idx="2">
                  <c:v>Podpora výzkumu a vývoje MŠMT</c:v>
                </c:pt>
                <c:pt idx="3">
                  <c:v>Granty a projekty</c:v>
                </c:pt>
                <c:pt idx="4">
                  <c:v>Doplňková činnost</c:v>
                </c:pt>
                <c:pt idx="5">
                  <c:v>Fondy</c:v>
                </c:pt>
                <c:pt idx="6">
                  <c:v>Jiné příjmy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9.7569146160060155E-2"/>
                  <c:y val="7.1878858193293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DA-401E-8A28-6D0D1ED43FC4}"/>
                </c:ext>
              </c:extLst>
            </c:dLbl>
            <c:dLbl>
              <c:idx val="1"/>
              <c:layout>
                <c:manualLayout>
                  <c:x val="7.4961651507886081E-3"/>
                  <c:y val="0.278018468536811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DA-401E-8A28-6D0D1ED43FC4}"/>
                </c:ext>
              </c:extLst>
            </c:dLbl>
            <c:dLbl>
              <c:idx val="2"/>
              <c:layout>
                <c:manualLayout>
                  <c:x val="-4.8946773513285531E-2"/>
                  <c:y val="3.1919075843715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DA-401E-8A28-6D0D1ED43FC4}"/>
                </c:ext>
              </c:extLst>
            </c:dLbl>
            <c:dLbl>
              <c:idx val="3"/>
              <c:layout>
                <c:manualLayout>
                  <c:x val="-6.1947060312104597E-2"/>
                  <c:y val="-4.7590368630070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DA-401E-8A28-6D0D1ED43FC4}"/>
                </c:ext>
              </c:extLst>
            </c:dLbl>
            <c:dLbl>
              <c:idx val="4"/>
              <c:layout>
                <c:manualLayout>
                  <c:x val="-6.3731421341206244E-3"/>
                  <c:y val="-7.1416219586784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1DA-401E-8A28-6D0D1ED43FC4}"/>
                </c:ext>
              </c:extLst>
            </c:dLbl>
            <c:dLbl>
              <c:idx val="5"/>
              <c:layout>
                <c:manualLayout>
                  <c:x val="5.6955006326444541E-2"/>
                  <c:y val="-0.11674769190928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DA-401E-8A28-6D0D1ED43FC4}"/>
                </c:ext>
              </c:extLst>
            </c:dLbl>
            <c:dLbl>
              <c:idx val="6"/>
              <c:layout>
                <c:manualLayout>
                  <c:x val="0.12805702235343736"/>
                  <c:y val="-2.8094477108203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DA-401E-8A28-6D0D1ED43F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Výnosy_2025_graf!$B$3:$B$9</c:f>
              <c:strCache>
                <c:ptCount val="7"/>
                <c:pt idx="0">
                  <c:v>Vzdělávací činnost - příspěvek</c:v>
                </c:pt>
                <c:pt idx="1">
                  <c:v>Vzdělávací projekty (KAPACITY+)</c:v>
                </c:pt>
                <c:pt idx="2">
                  <c:v>Podpora výzkumu a vývoje MŠMT</c:v>
                </c:pt>
                <c:pt idx="3">
                  <c:v>Granty a projekty</c:v>
                </c:pt>
                <c:pt idx="4">
                  <c:v>Doplňková činnost</c:v>
                </c:pt>
                <c:pt idx="5">
                  <c:v>Fondy</c:v>
                </c:pt>
                <c:pt idx="6">
                  <c:v>Jiné příjmy</c:v>
                </c:pt>
              </c:strCache>
            </c:strRef>
          </c:cat>
          <c:val>
            <c:numRef>
              <c:f>Výnosy_2025_graf!$D$3:$D$9</c:f>
              <c:numCache>
                <c:formatCode>0.00%</c:formatCode>
                <c:ptCount val="7"/>
                <c:pt idx="0">
                  <c:v>0.74090900830501394</c:v>
                </c:pt>
                <c:pt idx="1">
                  <c:v>0.16126628745888383</c:v>
                </c:pt>
                <c:pt idx="2">
                  <c:v>2.7404728587784179E-2</c:v>
                </c:pt>
                <c:pt idx="3">
                  <c:v>1.5610518472749741E-2</c:v>
                </c:pt>
                <c:pt idx="4">
                  <c:v>6.0606611299907319E-3</c:v>
                </c:pt>
                <c:pt idx="5">
                  <c:v>1.1394406382321406E-2</c:v>
                </c:pt>
                <c:pt idx="6">
                  <c:v>3.7354389663256223E-2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DA-401E-8A28-6D0D1ED43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+mn-lt"/>
              </a:defRPr>
            </a:pPr>
            <a:endParaRPr lang="cs-CZ"/>
          </a:p>
        </c:txPr>
      </c:legendEntry>
      <c:layout>
        <c:manualLayout>
          <c:xMode val="edge"/>
          <c:yMode val="edge"/>
          <c:x val="0.64183122942965454"/>
          <c:y val="6.1371718197981845E-2"/>
          <c:w val="0.34855365301559527"/>
          <c:h val="0.70783562703489045"/>
        </c:manualLayout>
      </c:layout>
      <c:overlay val="0"/>
      <c:txPr>
        <a:bodyPr/>
        <a:lstStyle/>
        <a:p>
          <a:pPr>
            <a:defRPr sz="1100"/>
          </a:pPr>
          <a:endParaRPr lang="cs-CZ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0930925301004"/>
          <c:y val="2.8099415967043854E-2"/>
          <c:w val="0.61185616961176892"/>
          <c:h val="0.850760062243656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'podklady pro graf3'!$B$22</c:f>
              <c:strCache>
                <c:ptCount val="1"/>
                <c:pt idx="0">
                  <c:v>Vzdělávací činnost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graf3'!$C$22:$R$22</c:f>
              <c:numCache>
                <c:formatCode>0</c:formatCode>
                <c:ptCount val="16"/>
                <c:pt idx="0">
                  <c:v>21875</c:v>
                </c:pt>
                <c:pt idx="1">
                  <c:v>22631</c:v>
                </c:pt>
                <c:pt idx="2">
                  <c:v>24884</c:v>
                </c:pt>
                <c:pt idx="3">
                  <c:v>30182</c:v>
                </c:pt>
                <c:pt idx="4">
                  <c:v>36306</c:v>
                </c:pt>
                <c:pt idx="5">
                  <c:v>34730</c:v>
                </c:pt>
                <c:pt idx="6" formatCode="General">
                  <c:v>34705</c:v>
                </c:pt>
                <c:pt idx="7" formatCode="General">
                  <c:v>34680</c:v>
                </c:pt>
                <c:pt idx="8" formatCode="General">
                  <c:v>48978</c:v>
                </c:pt>
                <c:pt idx="9" formatCode="General">
                  <c:v>60059</c:v>
                </c:pt>
                <c:pt idx="10" formatCode="General">
                  <c:v>63974</c:v>
                </c:pt>
                <c:pt idx="11" formatCode="General">
                  <c:v>66613</c:v>
                </c:pt>
                <c:pt idx="12" formatCode="General">
                  <c:v>69543</c:v>
                </c:pt>
                <c:pt idx="13" formatCode="General">
                  <c:v>69704</c:v>
                </c:pt>
                <c:pt idx="14" formatCode="General">
                  <c:v>74923</c:v>
                </c:pt>
                <c:pt idx="15" formatCode="General">
                  <c:v>99288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79-4036-B819-EB190ED6878F}"/>
            </c:ext>
          </c:extLst>
        </c:ser>
        <c:ser>
          <c:idx val="1"/>
          <c:order val="1"/>
          <c:tx>
            <c:strRef>
              <c:f>'podklady pro graf3'!$B$23</c:f>
              <c:strCache>
                <c:ptCount val="1"/>
                <c:pt idx="0">
                  <c:v>Podpora výzkumu a vývoje MŠMT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graf3'!$C$23:$R$23</c:f>
              <c:numCache>
                <c:formatCode>0</c:formatCode>
                <c:ptCount val="16"/>
                <c:pt idx="0">
                  <c:v>722</c:v>
                </c:pt>
                <c:pt idx="1">
                  <c:v>2363</c:v>
                </c:pt>
                <c:pt idx="2">
                  <c:v>3179</c:v>
                </c:pt>
                <c:pt idx="3">
                  <c:v>3772</c:v>
                </c:pt>
                <c:pt idx="4">
                  <c:v>3817</c:v>
                </c:pt>
                <c:pt idx="5">
                  <c:v>3924</c:v>
                </c:pt>
                <c:pt idx="6" formatCode="General">
                  <c:v>3735</c:v>
                </c:pt>
                <c:pt idx="7" formatCode="General">
                  <c:v>3439</c:v>
                </c:pt>
                <c:pt idx="8" formatCode="General">
                  <c:v>2820</c:v>
                </c:pt>
                <c:pt idx="9" formatCode="General">
                  <c:v>2788</c:v>
                </c:pt>
                <c:pt idx="10" formatCode="General">
                  <c:v>2889</c:v>
                </c:pt>
                <c:pt idx="11" formatCode="General">
                  <c:v>2889</c:v>
                </c:pt>
                <c:pt idx="12" formatCode="General">
                  <c:v>3012</c:v>
                </c:pt>
                <c:pt idx="13" formatCode="General">
                  <c:v>2934</c:v>
                </c:pt>
                <c:pt idx="14" formatCode="General">
                  <c:v>2993</c:v>
                </c:pt>
                <c:pt idx="15" formatCode="General">
                  <c:v>3016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79-4036-B819-EB190ED6878F}"/>
            </c:ext>
          </c:extLst>
        </c:ser>
        <c:ser>
          <c:idx val="2"/>
          <c:order val="2"/>
          <c:tx>
            <c:strRef>
              <c:f>'podklady pro graf3'!$B$24</c:f>
              <c:strCache>
                <c:ptCount val="1"/>
                <c:pt idx="0">
                  <c:v>Granty a projekty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graf3'!$C$24:$R$24</c:f>
              <c:numCache>
                <c:formatCode>0</c:formatCode>
                <c:ptCount val="16"/>
                <c:pt idx="0">
                  <c:v>982</c:v>
                </c:pt>
                <c:pt idx="1">
                  <c:v>3447</c:v>
                </c:pt>
                <c:pt idx="2">
                  <c:v>2329</c:v>
                </c:pt>
                <c:pt idx="3">
                  <c:v>5535</c:v>
                </c:pt>
                <c:pt idx="4">
                  <c:v>11781</c:v>
                </c:pt>
                <c:pt idx="5">
                  <c:v>8632</c:v>
                </c:pt>
                <c:pt idx="6" formatCode="General">
                  <c:v>1152</c:v>
                </c:pt>
                <c:pt idx="7" formatCode="General">
                  <c:v>3751</c:v>
                </c:pt>
                <c:pt idx="8" formatCode="General">
                  <c:v>7229</c:v>
                </c:pt>
                <c:pt idx="9" formatCode="General">
                  <c:v>4117</c:v>
                </c:pt>
                <c:pt idx="10" formatCode="General">
                  <c:v>603</c:v>
                </c:pt>
                <c:pt idx="11" formatCode="General">
                  <c:v>3912</c:v>
                </c:pt>
                <c:pt idx="12" formatCode="General">
                  <c:v>6429</c:v>
                </c:pt>
                <c:pt idx="13" formatCode="General">
                  <c:v>2680</c:v>
                </c:pt>
                <c:pt idx="14" formatCode="General">
                  <c:v>174</c:v>
                </c:pt>
                <c:pt idx="15" formatCode="General">
                  <c:v>1718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79-4036-B819-EB190ED6878F}"/>
            </c:ext>
          </c:extLst>
        </c:ser>
        <c:ser>
          <c:idx val="3"/>
          <c:order val="3"/>
          <c:tx>
            <c:strRef>
              <c:f>'podklady pro graf3'!$B$25</c:f>
              <c:strCache>
                <c:ptCount val="1"/>
                <c:pt idx="0">
                  <c:v>Doplňková činnost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graf3'!$C$25:$R$25</c:f>
              <c:numCache>
                <c:formatCode>0</c:formatCode>
                <c:ptCount val="16"/>
                <c:pt idx="0">
                  <c:v>0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37</c:v>
                </c:pt>
                <c:pt idx="6" formatCode="General">
                  <c:v>68</c:v>
                </c:pt>
                <c:pt idx="7" formatCode="General">
                  <c:v>77</c:v>
                </c:pt>
                <c:pt idx="8" formatCode="General">
                  <c:v>138</c:v>
                </c:pt>
                <c:pt idx="9" formatCode="General">
                  <c:v>287</c:v>
                </c:pt>
                <c:pt idx="10" formatCode="General">
                  <c:v>176</c:v>
                </c:pt>
                <c:pt idx="11" formatCode="General">
                  <c:v>483</c:v>
                </c:pt>
                <c:pt idx="12" formatCode="General">
                  <c:v>992</c:v>
                </c:pt>
                <c:pt idx="13" formatCode="General">
                  <c:v>580</c:v>
                </c:pt>
                <c:pt idx="14" formatCode="General">
                  <c:v>568</c:v>
                </c:pt>
                <c:pt idx="15" formatCode="General">
                  <c:v>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79-4036-B819-EB190ED6878F}"/>
            </c:ext>
          </c:extLst>
        </c:ser>
        <c:ser>
          <c:idx val="4"/>
          <c:order val="4"/>
          <c:tx>
            <c:strRef>
              <c:f>'podklady pro graf3'!$B$26</c:f>
              <c:strCache>
                <c:ptCount val="1"/>
                <c:pt idx="0">
                  <c:v>Fondy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graf3'!$C$26:$R$26</c:f>
              <c:numCache>
                <c:formatCode>0</c:formatCode>
                <c:ptCount val="16"/>
                <c:pt idx="0">
                  <c:v>7787</c:v>
                </c:pt>
                <c:pt idx="1">
                  <c:v>4735</c:v>
                </c:pt>
                <c:pt idx="2">
                  <c:v>10774</c:v>
                </c:pt>
                <c:pt idx="3">
                  <c:v>11814</c:v>
                </c:pt>
                <c:pt idx="4">
                  <c:v>14045</c:v>
                </c:pt>
                <c:pt idx="5">
                  <c:v>16460</c:v>
                </c:pt>
                <c:pt idx="6" formatCode="General">
                  <c:v>15673</c:v>
                </c:pt>
                <c:pt idx="7" formatCode="General">
                  <c:v>8817</c:v>
                </c:pt>
                <c:pt idx="8" formatCode="General">
                  <c:v>5327</c:v>
                </c:pt>
                <c:pt idx="9" formatCode="General">
                  <c:v>1718</c:v>
                </c:pt>
                <c:pt idx="10" formatCode="General">
                  <c:v>4634</c:v>
                </c:pt>
                <c:pt idx="11" formatCode="General">
                  <c:v>946</c:v>
                </c:pt>
                <c:pt idx="12" formatCode="General">
                  <c:v>1387</c:v>
                </c:pt>
                <c:pt idx="13" formatCode="General">
                  <c:v>1569</c:v>
                </c:pt>
                <c:pt idx="14" formatCode="General">
                  <c:v>1684</c:v>
                </c:pt>
                <c:pt idx="15" formatCode="General">
                  <c:v>1254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79-4036-B819-EB190ED6878F}"/>
            </c:ext>
          </c:extLst>
        </c:ser>
        <c:ser>
          <c:idx val="5"/>
          <c:order val="5"/>
          <c:tx>
            <c:strRef>
              <c:f>'podklady pro graf3'!$B$27</c:f>
              <c:strCache>
                <c:ptCount val="1"/>
                <c:pt idx="0">
                  <c:v>Jiné příjmy</c:v>
                </c:pt>
              </c:strCache>
            </c:strRef>
          </c:tx>
          <c:invertIfNegative val="0"/>
          <c:cat>
            <c:numRef>
              <c:f>'podklady pro graf3'!$C$21:$R$21</c:f>
              <c:numCache>
                <c:formatCode>General</c:formatCode>
                <c:ptCount val="1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  <c:pt idx="15">
                  <c:v>2025</c:v>
                </c:pt>
              </c:numCache>
            </c:numRef>
          </c:cat>
          <c:val>
            <c:numRef>
              <c:f>'podklady pro graf3'!$C$27:$R$27</c:f>
              <c:numCache>
                <c:formatCode>0</c:formatCode>
                <c:ptCount val="16"/>
                <c:pt idx="0">
                  <c:v>495</c:v>
                </c:pt>
                <c:pt idx="1">
                  <c:v>778</c:v>
                </c:pt>
                <c:pt idx="2">
                  <c:v>850</c:v>
                </c:pt>
                <c:pt idx="3">
                  <c:v>826</c:v>
                </c:pt>
                <c:pt idx="4">
                  <c:v>697</c:v>
                </c:pt>
                <c:pt idx="5">
                  <c:v>802</c:v>
                </c:pt>
                <c:pt idx="6" formatCode="General">
                  <c:v>1097</c:v>
                </c:pt>
                <c:pt idx="7" formatCode="General">
                  <c:v>923</c:v>
                </c:pt>
                <c:pt idx="8" formatCode="General">
                  <c:v>1028</c:v>
                </c:pt>
                <c:pt idx="9" formatCode="General">
                  <c:v>907</c:v>
                </c:pt>
                <c:pt idx="10" formatCode="General">
                  <c:v>837</c:v>
                </c:pt>
                <c:pt idx="11" formatCode="General">
                  <c:v>1003</c:v>
                </c:pt>
                <c:pt idx="12" formatCode="General">
                  <c:v>1240</c:v>
                </c:pt>
                <c:pt idx="13" formatCode="General">
                  <c:v>2126</c:v>
                </c:pt>
                <c:pt idx="14" formatCode="General">
                  <c:v>2854</c:v>
                </c:pt>
                <c:pt idx="15" formatCode="General">
                  <c:v>4111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E79-4036-B819-EB190ED68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7388928"/>
        <c:axId val="107390464"/>
      </c:barChart>
      <c:catAx>
        <c:axId val="10738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cs-CZ"/>
          </a:p>
        </c:txPr>
        <c:crossAx val="107390464"/>
        <c:crosses val="autoZero"/>
        <c:auto val="1"/>
        <c:lblAlgn val="ctr"/>
        <c:lblOffset val="100"/>
        <c:noMultiLvlLbl val="0"/>
      </c:catAx>
      <c:valAx>
        <c:axId val="1073904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tisíce Kč</a:t>
                </a:r>
              </a:p>
            </c:rich>
          </c:tx>
          <c:layout>
            <c:manualLayout>
              <c:xMode val="edge"/>
              <c:yMode val="edge"/>
              <c:x val="8.8183421516754845E-3"/>
              <c:y val="0.31349598477342655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10738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874300434667885"/>
          <c:y val="9.4766843093288838E-2"/>
          <c:w val="0.2202032484059307"/>
          <c:h val="0.71325839547374448"/>
        </c:manualLayout>
      </c:layout>
      <c:overlay val="0"/>
      <c:txPr>
        <a:bodyPr/>
        <a:lstStyle/>
        <a:p>
          <a:pPr>
            <a:defRPr sz="11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2"/>
          <c:dLbls>
            <c:dLbl>
              <c:idx val="0"/>
              <c:layout>
                <c:manualLayout>
                  <c:x val="-3.5988526434195728E-2"/>
                  <c:y val="0.232708754934609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01-4FC3-BAF9-678615A54F3A}"/>
                </c:ext>
              </c:extLst>
            </c:dLbl>
            <c:dLbl>
              <c:idx val="1"/>
              <c:layout>
                <c:manualLayout>
                  <c:x val="7.3821147356580422E-2"/>
                  <c:y val="0.186061259605994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01-4FC3-BAF9-678615A54F3A}"/>
                </c:ext>
              </c:extLst>
            </c:dLbl>
            <c:dLbl>
              <c:idx val="5"/>
              <c:layout>
                <c:manualLayout>
                  <c:x val="9.308875760608664E-3"/>
                  <c:y val="-1.3565657293620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01-4FC3-BAF9-678615A54F3A}"/>
                </c:ext>
              </c:extLst>
            </c:dLbl>
            <c:dLbl>
              <c:idx val="7"/>
              <c:layout>
                <c:manualLayout>
                  <c:x val="4.7066666666666666E-2"/>
                  <c:y val="-4.5550056917119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01-4FC3-BAF9-678615A54F3A}"/>
                </c:ext>
              </c:extLst>
            </c:dLbl>
            <c:dLbl>
              <c:idx val="9"/>
              <c:layout>
                <c:manualLayout>
                  <c:x val="4.4733237085521793E-2"/>
                  <c:y val="4.42434958268060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01-4FC3-BAF9-678615A54F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NIV_náklady_graf_2025!$E$3:$E$12</c:f>
              <c:strCache>
                <c:ptCount val="10"/>
                <c:pt idx="0">
                  <c:v>osobní náklady</c:v>
                </c:pt>
                <c:pt idx="1">
                  <c:v>celouniverzitní náklady</c:v>
                </c:pt>
                <c:pt idx="2">
                  <c:v>materiálové náklady</c:v>
                </c:pt>
                <c:pt idx="3">
                  <c:v>spotřebované energie</c:v>
                </c:pt>
                <c:pt idx="4">
                  <c:v>služby</c:v>
                </c:pt>
                <c:pt idx="5">
                  <c:v>stipendia</c:v>
                </c:pt>
                <c:pt idx="6">
                  <c:v>cestovné</c:v>
                </c:pt>
                <c:pt idx="7">
                  <c:v>tvorba fondů</c:v>
                </c:pt>
                <c:pt idx="8">
                  <c:v>smlouvy</c:v>
                </c:pt>
                <c:pt idx="9">
                  <c:v>ostatní</c:v>
                </c:pt>
              </c:strCache>
            </c:strRef>
          </c:cat>
          <c:val>
            <c:numRef>
              <c:f>NIV_náklady_graf_2025!$F$3:$F$12</c:f>
              <c:numCache>
                <c:formatCode>0.00%</c:formatCode>
                <c:ptCount val="10"/>
                <c:pt idx="0">
                  <c:v>0.58412765527193844</c:v>
                </c:pt>
                <c:pt idx="1">
                  <c:v>0.21986708703684979</c:v>
                </c:pt>
                <c:pt idx="2">
                  <c:v>4.5784195674354052E-2</c:v>
                </c:pt>
                <c:pt idx="3">
                  <c:v>1.488147215353929E-2</c:v>
                </c:pt>
                <c:pt idx="4">
                  <c:v>3.1527763734799111E-2</c:v>
                </c:pt>
                <c:pt idx="5">
                  <c:v>1.1361025065950934E-2</c:v>
                </c:pt>
                <c:pt idx="6">
                  <c:v>6.4710045683086231E-3</c:v>
                </c:pt>
                <c:pt idx="7">
                  <c:v>6.201685770224187E-2</c:v>
                </c:pt>
                <c:pt idx="8">
                  <c:v>1.2427270136865424E-2</c:v>
                </c:pt>
                <c:pt idx="9">
                  <c:v>1.1535668655152445E-2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301-4FC3-BAF9-678615A54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Hospodářský výsledek v čase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spPr>
            <a:ln w="28575" cap="rnd" cmpd="sng" algn="ctr">
              <a:solidFill>
                <a:schemeClr val="accent5">
                  <a:lumMod val="7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HV2025_podklad_Graf4!$M$10:$M$28</c:f>
              <c:numCache>
                <c:formatCode>General</c:formatCode>
                <c:ptCount val="1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  <c:pt idx="18">
                  <c:v>2025</c:v>
                </c:pt>
              </c:numCache>
            </c:numRef>
          </c:cat>
          <c:val>
            <c:numRef>
              <c:f>HV2025_podklad_Graf4!$N$10:$N$28</c:f>
              <c:numCache>
                <c:formatCode>General</c:formatCode>
                <c:ptCount val="19"/>
                <c:pt idx="0">
                  <c:v>157</c:v>
                </c:pt>
                <c:pt idx="1">
                  <c:v>399</c:v>
                </c:pt>
                <c:pt idx="2">
                  <c:v>243</c:v>
                </c:pt>
                <c:pt idx="3">
                  <c:v>455</c:v>
                </c:pt>
                <c:pt idx="4">
                  <c:v>533</c:v>
                </c:pt>
                <c:pt idx="5">
                  <c:v>751</c:v>
                </c:pt>
                <c:pt idx="6">
                  <c:v>586</c:v>
                </c:pt>
                <c:pt idx="7">
                  <c:v>460</c:v>
                </c:pt>
                <c:pt idx="8">
                  <c:v>339</c:v>
                </c:pt>
                <c:pt idx="9">
                  <c:v>464</c:v>
                </c:pt>
                <c:pt idx="10">
                  <c:v>407</c:v>
                </c:pt>
                <c:pt idx="11">
                  <c:v>523</c:v>
                </c:pt>
                <c:pt idx="12">
                  <c:v>640</c:v>
                </c:pt>
                <c:pt idx="13">
                  <c:v>529</c:v>
                </c:pt>
                <c:pt idx="14">
                  <c:v>611</c:v>
                </c:pt>
                <c:pt idx="15">
                  <c:v>692</c:v>
                </c:pt>
                <c:pt idx="16">
                  <c:v>231</c:v>
                </c:pt>
                <c:pt idx="17">
                  <c:v>158</c:v>
                </c:pt>
                <c:pt idx="18">
                  <c:v>1261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0-C368-4BCE-925B-2290E992CF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7283968"/>
        <c:axId val="107285888"/>
        <c:extLst/>
      </c:lineChart>
      <c:catAx>
        <c:axId val="107283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7285888"/>
        <c:crosses val="autoZero"/>
        <c:auto val="0"/>
        <c:lblAlgn val="ctr"/>
        <c:lblOffset val="100"/>
        <c:noMultiLvlLbl val="0"/>
      </c:catAx>
      <c:valAx>
        <c:axId val="10728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tis. Kč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728396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0.05289</cdr:x>
      <cdr:y>0.46753</cdr:y>
    </cdr:from>
    <cdr:to>
      <cdr:x>0.05577</cdr:x>
      <cdr:y>0.56819</cdr:y>
    </cdr:to>
    <cdr:cxnSp macro="">
      <cdr:nvCxnSpPr>
        <cdr:cNvPr id="3" name="Přímá spojnice 2">
          <a:extLst xmlns:a="http://schemas.openxmlformats.org/drawingml/2006/main">
            <a:ext uri="{FF2B5EF4-FFF2-40B4-BE49-F238E27FC236}">
              <a16:creationId xmlns:a16="http://schemas.microsoft.com/office/drawing/2014/main" id="{0D22027B-9B50-9D5C-1E70-ABA2FCF105B1}"/>
            </a:ext>
          </a:extLst>
        </cdr:cNvPr>
        <cdr:cNvCxnSpPr/>
      </cdr:nvCxnSpPr>
      <cdr:spPr>
        <a:xfrm xmlns:a="http://schemas.openxmlformats.org/drawingml/2006/main" flipH="1">
          <a:off x="448016" y="2381961"/>
          <a:ext cx="24423" cy="51288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0.22103</cdr:x>
      <cdr:y>0.18039</cdr:y>
    </cdr:from>
    <cdr:to>
      <cdr:x>0.2365</cdr:x>
      <cdr:y>0.19845</cdr:y>
    </cdr:to>
    <cdr:cxnSp macro="">
      <cdr:nvCxnSpPr>
        <cdr:cNvPr id="3" name="Přímá spojnice 2">
          <a:extLst xmlns:a="http://schemas.openxmlformats.org/drawingml/2006/main">
            <a:ext uri="{FF2B5EF4-FFF2-40B4-BE49-F238E27FC236}">
              <a16:creationId xmlns:a16="http://schemas.microsoft.com/office/drawing/2014/main" id="{04202148-4DC8-3D95-DFA5-7F61AE4EB1A4}"/>
            </a:ext>
          </a:extLst>
        </cdr:cNvPr>
        <cdr:cNvCxnSpPr/>
      </cdr:nvCxnSpPr>
      <cdr:spPr>
        <a:xfrm xmlns:a="http://schemas.openxmlformats.org/drawingml/2006/main">
          <a:off x="1497330" y="665798"/>
          <a:ext cx="104775" cy="666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3067A4D38E478F2D50DB82F769C6" ma:contentTypeVersion="16" ma:contentTypeDescription="Create a new document." ma:contentTypeScope="" ma:versionID="a9bdb9a9da68950afb3ac4754db0c45a">
  <xsd:schema xmlns:xsd="http://www.w3.org/2001/XMLSchema" xmlns:xs="http://www.w3.org/2001/XMLSchema" xmlns:p="http://schemas.microsoft.com/office/2006/metadata/properties" xmlns:ns2="142785d4-8851-498a-aa5e-7a608b9f209d" xmlns:ns3="d18e1c5a-a784-4833-a220-e3fed16c61cb" targetNamespace="http://schemas.microsoft.com/office/2006/metadata/properties" ma:root="true" ma:fieldsID="14e88aa5ca9607da1e0ac4c2b2b50fbc" ns2:_="" ns3:_="">
    <xsd:import namespace="142785d4-8851-498a-aa5e-7a608b9f209d"/>
    <xsd:import namespace="d18e1c5a-a784-4833-a220-e3fed16c6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85d4-8851-498a-aa5e-7a608b9f2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1c5a-a784-4833-a220-e3fed16c6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efe916-8b0c-4672-9a64-f3b49268a578}" ma:internalName="TaxCatchAll" ma:showField="CatchAllData" ma:web="d18e1c5a-a784-4833-a220-e3fed16c6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785d4-8851-498a-aa5e-7a608b9f209d">
      <Terms xmlns="http://schemas.microsoft.com/office/infopath/2007/PartnerControls"/>
    </lcf76f155ced4ddcb4097134ff3c332f>
    <TaxCatchAll xmlns="d18e1c5a-a784-4833-a220-e3fed16c61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687B-1659-4BD8-B90E-36E449905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785d4-8851-498a-aa5e-7a608b9f209d"/>
    <ds:schemaRef ds:uri="d18e1c5a-a784-4833-a220-e3fed16c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DAB71-B1E1-42AC-8B4B-1C81FE660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7D53-EC55-4580-B4E1-DA9EB88F04CB}">
  <ds:schemaRefs>
    <ds:schemaRef ds:uri="http://schemas.microsoft.com/office/2006/metadata/properties"/>
    <ds:schemaRef ds:uri="http://schemas.microsoft.com/office/infopath/2007/PartnerControls"/>
    <ds:schemaRef ds:uri="142785d4-8851-498a-aa5e-7a608b9f209d"/>
    <ds:schemaRef ds:uri="d18e1c5a-a784-4833-a220-e3fed16c61cb"/>
  </ds:schemaRefs>
</ds:datastoreItem>
</file>

<file path=customXml/itemProps4.xml><?xml version="1.0" encoding="utf-8"?>
<ds:datastoreItem xmlns:ds="http://schemas.openxmlformats.org/officeDocument/2006/customXml" ds:itemID="{5E04CA47-62E7-4EA7-91C2-53F43095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21</Pages>
  <Words>4108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Chalupnik Marek</dc:creator>
  <cp:keywords/>
  <dc:description/>
  <cp:lastModifiedBy>Theer Vítková Hana</cp:lastModifiedBy>
  <cp:revision>207</cp:revision>
  <cp:lastPrinted>2024-04-08T09:51:00Z</cp:lastPrinted>
  <dcterms:created xsi:type="dcterms:W3CDTF">2026-02-16T12:30:00Z</dcterms:created>
  <dcterms:modified xsi:type="dcterms:W3CDTF">2026-03-04T06:41:00Z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0x01010065A93067A4D38E478F2D50DB82F769C6</vt:lpwstr>
  </property>
</Properties>
</file>