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4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6C" w:rsidRDefault="00184704" w:rsidP="00E969E9">
      <w:pPr>
        <w:pStyle w:val="Nzev"/>
      </w:pPr>
      <w:r>
        <w:t xml:space="preserve">Výroční zpráva o </w:t>
      </w:r>
      <w:r w:rsidR="00412A58">
        <w:t>hospodaření</w:t>
      </w:r>
      <w:r>
        <w:t xml:space="preserve"> </w:t>
      </w:r>
    </w:p>
    <w:p w:rsidR="00184704" w:rsidRDefault="00184704" w:rsidP="00E969E9">
      <w:pPr>
        <w:pStyle w:val="Nzev"/>
      </w:pPr>
      <w:r>
        <w:t>Fakulty zdravotnických studií</w:t>
      </w:r>
    </w:p>
    <w:p w:rsidR="00184704" w:rsidRDefault="00184704" w:rsidP="00E969E9">
      <w:pPr>
        <w:pStyle w:val="Nzev"/>
      </w:pPr>
      <w:r>
        <w:t>Univerzity Pardubice</w:t>
      </w:r>
    </w:p>
    <w:p w:rsidR="00F231D7" w:rsidRDefault="009F1FA3" w:rsidP="009F1FA3">
      <w:pPr>
        <w:pStyle w:val="Nzev"/>
      </w:pPr>
      <w:r>
        <w:t>201</w:t>
      </w:r>
      <w:r w:rsidR="002F20D5">
        <w:t>9</w:t>
      </w:r>
    </w:p>
    <w:p w:rsidR="009F1FA3" w:rsidRDefault="009F1FA3" w:rsidP="00F231D7"/>
    <w:p w:rsidR="006F5C31" w:rsidRDefault="006F5C31" w:rsidP="009F1FA3">
      <w:pPr>
        <w:sectPr w:rsidR="006F5C31" w:rsidSect="00D7109C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id w:val="1463611419"/>
        <w:docPartObj>
          <w:docPartGallery w:val="Table of Contents"/>
          <w:docPartUnique/>
        </w:docPartObj>
      </w:sdtPr>
      <w:sdtEndPr/>
      <w:sdtContent>
        <w:p w:rsidR="009F1FA3" w:rsidRDefault="009F1FA3" w:rsidP="003F7539">
          <w:pPr>
            <w:pStyle w:val="Nadpisobsahu"/>
            <w:numPr>
              <w:ilvl w:val="0"/>
              <w:numId w:val="0"/>
            </w:numPr>
          </w:pPr>
          <w:r>
            <w:t>Obsah</w:t>
          </w:r>
        </w:p>
        <w:p w:rsidR="005331D4" w:rsidRPr="005331D4" w:rsidRDefault="005331D4" w:rsidP="005331D4"/>
        <w:p w:rsidR="00A507A9" w:rsidRDefault="009F1FA3">
          <w:pPr>
            <w:pStyle w:val="Obsah1"/>
            <w:tabs>
              <w:tab w:val="left" w:pos="708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3482104" w:history="1">
            <w:r w:rsidR="00A507A9" w:rsidRPr="0074122A">
              <w:rPr>
                <w:rStyle w:val="Hypertextovodkaz"/>
                <w:noProof/>
              </w:rPr>
              <w:t>1</w:t>
            </w:r>
            <w:r w:rsidR="00A507A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507A9" w:rsidRPr="0074122A">
              <w:rPr>
                <w:rStyle w:val="Hypertextovodkaz"/>
                <w:noProof/>
              </w:rPr>
              <w:t>Úvod</w:t>
            </w:r>
            <w:r w:rsidR="00A507A9">
              <w:rPr>
                <w:noProof/>
                <w:webHidden/>
              </w:rPr>
              <w:tab/>
            </w:r>
            <w:r w:rsidR="00A507A9">
              <w:rPr>
                <w:noProof/>
                <w:webHidden/>
              </w:rPr>
              <w:fldChar w:fldCharType="begin"/>
            </w:r>
            <w:r w:rsidR="00A507A9">
              <w:rPr>
                <w:noProof/>
                <w:webHidden/>
              </w:rPr>
              <w:instrText xml:space="preserve"> PAGEREF _Toc443482104 \h </w:instrText>
            </w:r>
            <w:r w:rsidR="00A507A9">
              <w:rPr>
                <w:noProof/>
                <w:webHidden/>
              </w:rPr>
            </w:r>
            <w:r w:rsidR="00A507A9">
              <w:rPr>
                <w:noProof/>
                <w:webHidden/>
              </w:rPr>
              <w:fldChar w:fldCharType="separate"/>
            </w:r>
            <w:r w:rsidR="009C2029">
              <w:rPr>
                <w:noProof/>
                <w:webHidden/>
              </w:rPr>
              <w:t>3</w:t>
            </w:r>
            <w:r w:rsidR="00A507A9">
              <w:rPr>
                <w:noProof/>
                <w:webHidden/>
              </w:rPr>
              <w:fldChar w:fldCharType="end"/>
            </w:r>
          </w:hyperlink>
        </w:p>
        <w:p w:rsidR="00A507A9" w:rsidRDefault="0033367F">
          <w:pPr>
            <w:pStyle w:val="Obsah1"/>
            <w:tabs>
              <w:tab w:val="left" w:pos="708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43482105" w:history="1">
            <w:r w:rsidR="00A507A9" w:rsidRPr="0074122A">
              <w:rPr>
                <w:rStyle w:val="Hypertextovodkaz"/>
                <w:noProof/>
              </w:rPr>
              <w:t>2</w:t>
            </w:r>
            <w:r w:rsidR="00A507A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507A9" w:rsidRPr="0074122A">
              <w:rPr>
                <w:rStyle w:val="Hypertextovodkaz"/>
                <w:noProof/>
              </w:rPr>
              <w:t>Neinvestiční výnosy</w:t>
            </w:r>
            <w:r w:rsidR="00A507A9">
              <w:rPr>
                <w:noProof/>
                <w:webHidden/>
              </w:rPr>
              <w:tab/>
            </w:r>
            <w:r w:rsidR="00A507A9">
              <w:rPr>
                <w:noProof/>
                <w:webHidden/>
              </w:rPr>
              <w:fldChar w:fldCharType="begin"/>
            </w:r>
            <w:r w:rsidR="00A507A9">
              <w:rPr>
                <w:noProof/>
                <w:webHidden/>
              </w:rPr>
              <w:instrText xml:space="preserve"> PAGEREF _Toc443482105 \h </w:instrText>
            </w:r>
            <w:r w:rsidR="00A507A9">
              <w:rPr>
                <w:noProof/>
                <w:webHidden/>
              </w:rPr>
            </w:r>
            <w:r w:rsidR="00A507A9">
              <w:rPr>
                <w:noProof/>
                <w:webHidden/>
              </w:rPr>
              <w:fldChar w:fldCharType="separate"/>
            </w:r>
            <w:r w:rsidR="009C2029">
              <w:rPr>
                <w:noProof/>
                <w:webHidden/>
              </w:rPr>
              <w:t>5</w:t>
            </w:r>
            <w:r w:rsidR="00A507A9">
              <w:rPr>
                <w:noProof/>
                <w:webHidden/>
              </w:rPr>
              <w:fldChar w:fldCharType="end"/>
            </w:r>
          </w:hyperlink>
        </w:p>
        <w:p w:rsidR="00A507A9" w:rsidRDefault="0033367F">
          <w:pPr>
            <w:pStyle w:val="Obsah2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443482106" w:history="1">
            <w:r w:rsidR="00A507A9" w:rsidRPr="0074122A">
              <w:rPr>
                <w:rStyle w:val="Hypertextovodkaz"/>
                <w:noProof/>
              </w:rPr>
              <w:t>2.1</w:t>
            </w:r>
            <w:r w:rsidR="00A507A9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507A9" w:rsidRPr="0074122A">
              <w:rPr>
                <w:rStyle w:val="Hypertextovodkaz"/>
                <w:noProof/>
              </w:rPr>
              <w:t>Srovnání skutečných výnosů s rozpočtem</w:t>
            </w:r>
            <w:r w:rsidR="00A507A9">
              <w:rPr>
                <w:noProof/>
                <w:webHidden/>
              </w:rPr>
              <w:tab/>
            </w:r>
            <w:r w:rsidR="00A507A9">
              <w:rPr>
                <w:noProof/>
                <w:webHidden/>
              </w:rPr>
              <w:fldChar w:fldCharType="begin"/>
            </w:r>
            <w:r w:rsidR="00A507A9">
              <w:rPr>
                <w:noProof/>
                <w:webHidden/>
              </w:rPr>
              <w:instrText xml:space="preserve"> PAGEREF _Toc443482106 \h </w:instrText>
            </w:r>
            <w:r w:rsidR="00A507A9">
              <w:rPr>
                <w:noProof/>
                <w:webHidden/>
              </w:rPr>
            </w:r>
            <w:r w:rsidR="00A507A9">
              <w:rPr>
                <w:noProof/>
                <w:webHidden/>
              </w:rPr>
              <w:fldChar w:fldCharType="separate"/>
            </w:r>
            <w:r w:rsidR="009C2029">
              <w:rPr>
                <w:noProof/>
                <w:webHidden/>
              </w:rPr>
              <w:t>6</w:t>
            </w:r>
            <w:r w:rsidR="00A507A9">
              <w:rPr>
                <w:noProof/>
                <w:webHidden/>
              </w:rPr>
              <w:fldChar w:fldCharType="end"/>
            </w:r>
          </w:hyperlink>
        </w:p>
        <w:p w:rsidR="00A507A9" w:rsidRDefault="0033367F">
          <w:pPr>
            <w:pStyle w:val="Obsah1"/>
            <w:tabs>
              <w:tab w:val="left" w:pos="708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43482107" w:history="1">
            <w:r w:rsidR="00A507A9" w:rsidRPr="0074122A">
              <w:rPr>
                <w:rStyle w:val="Hypertextovodkaz"/>
                <w:noProof/>
              </w:rPr>
              <w:t>3</w:t>
            </w:r>
            <w:r w:rsidR="00A507A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507A9" w:rsidRPr="0074122A">
              <w:rPr>
                <w:rStyle w:val="Hypertextovodkaz"/>
                <w:noProof/>
              </w:rPr>
              <w:t>Neinvestiční náklady</w:t>
            </w:r>
            <w:r w:rsidR="00A507A9">
              <w:rPr>
                <w:noProof/>
                <w:webHidden/>
              </w:rPr>
              <w:tab/>
            </w:r>
            <w:r w:rsidR="00A507A9">
              <w:rPr>
                <w:noProof/>
                <w:webHidden/>
              </w:rPr>
              <w:fldChar w:fldCharType="begin"/>
            </w:r>
            <w:r w:rsidR="00A507A9">
              <w:rPr>
                <w:noProof/>
                <w:webHidden/>
              </w:rPr>
              <w:instrText xml:space="preserve"> PAGEREF _Toc443482107 \h </w:instrText>
            </w:r>
            <w:r w:rsidR="00A507A9">
              <w:rPr>
                <w:noProof/>
                <w:webHidden/>
              </w:rPr>
            </w:r>
            <w:r w:rsidR="00A507A9">
              <w:rPr>
                <w:noProof/>
                <w:webHidden/>
              </w:rPr>
              <w:fldChar w:fldCharType="separate"/>
            </w:r>
            <w:r w:rsidR="009C2029">
              <w:rPr>
                <w:noProof/>
                <w:webHidden/>
              </w:rPr>
              <w:t>9</w:t>
            </w:r>
            <w:r w:rsidR="00A507A9">
              <w:rPr>
                <w:noProof/>
                <w:webHidden/>
              </w:rPr>
              <w:fldChar w:fldCharType="end"/>
            </w:r>
          </w:hyperlink>
        </w:p>
        <w:p w:rsidR="00A507A9" w:rsidRDefault="0033367F">
          <w:pPr>
            <w:pStyle w:val="Obsah2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443482108" w:history="1">
            <w:r w:rsidR="00A507A9" w:rsidRPr="0074122A">
              <w:rPr>
                <w:rStyle w:val="Hypertextovodkaz"/>
                <w:noProof/>
              </w:rPr>
              <w:t>3.1</w:t>
            </w:r>
            <w:r w:rsidR="00A507A9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507A9" w:rsidRPr="0074122A">
              <w:rPr>
                <w:rStyle w:val="Hypertextovodkaz"/>
                <w:noProof/>
              </w:rPr>
              <w:t>Skutečné náklady v porovnání s rozpočtem</w:t>
            </w:r>
            <w:r w:rsidR="00A507A9">
              <w:rPr>
                <w:noProof/>
                <w:webHidden/>
              </w:rPr>
              <w:tab/>
            </w:r>
            <w:r w:rsidR="00A507A9">
              <w:rPr>
                <w:noProof/>
                <w:webHidden/>
              </w:rPr>
              <w:fldChar w:fldCharType="begin"/>
            </w:r>
            <w:r w:rsidR="00A507A9">
              <w:rPr>
                <w:noProof/>
                <w:webHidden/>
              </w:rPr>
              <w:instrText xml:space="preserve"> PAGEREF _Toc443482108 \h </w:instrText>
            </w:r>
            <w:r w:rsidR="00A507A9">
              <w:rPr>
                <w:noProof/>
                <w:webHidden/>
              </w:rPr>
            </w:r>
            <w:r w:rsidR="00A507A9">
              <w:rPr>
                <w:noProof/>
                <w:webHidden/>
              </w:rPr>
              <w:fldChar w:fldCharType="separate"/>
            </w:r>
            <w:r w:rsidR="009C2029">
              <w:rPr>
                <w:noProof/>
                <w:webHidden/>
              </w:rPr>
              <w:t>10</w:t>
            </w:r>
            <w:r w:rsidR="00A507A9">
              <w:rPr>
                <w:noProof/>
                <w:webHidden/>
              </w:rPr>
              <w:fldChar w:fldCharType="end"/>
            </w:r>
          </w:hyperlink>
        </w:p>
        <w:p w:rsidR="00A507A9" w:rsidRDefault="0033367F">
          <w:pPr>
            <w:pStyle w:val="Obsah2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443482109" w:history="1">
            <w:r w:rsidR="00A507A9" w:rsidRPr="0074122A">
              <w:rPr>
                <w:rStyle w:val="Hypertextovodkaz"/>
                <w:noProof/>
              </w:rPr>
              <w:t>3.2</w:t>
            </w:r>
            <w:r w:rsidR="00A507A9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507A9" w:rsidRPr="0074122A">
              <w:rPr>
                <w:rStyle w:val="Hypertextovodkaz"/>
                <w:noProof/>
              </w:rPr>
              <w:t>Druhové členění nákladů celkem</w:t>
            </w:r>
            <w:r w:rsidR="00A507A9">
              <w:rPr>
                <w:noProof/>
                <w:webHidden/>
              </w:rPr>
              <w:tab/>
            </w:r>
            <w:r w:rsidR="00A507A9">
              <w:rPr>
                <w:noProof/>
                <w:webHidden/>
              </w:rPr>
              <w:fldChar w:fldCharType="begin"/>
            </w:r>
            <w:r w:rsidR="00A507A9">
              <w:rPr>
                <w:noProof/>
                <w:webHidden/>
              </w:rPr>
              <w:instrText xml:space="preserve"> PAGEREF _Toc443482109 \h </w:instrText>
            </w:r>
            <w:r w:rsidR="00A507A9">
              <w:rPr>
                <w:noProof/>
                <w:webHidden/>
              </w:rPr>
            </w:r>
            <w:r w:rsidR="00A507A9">
              <w:rPr>
                <w:noProof/>
                <w:webHidden/>
              </w:rPr>
              <w:fldChar w:fldCharType="separate"/>
            </w:r>
            <w:r w:rsidR="009C2029">
              <w:rPr>
                <w:noProof/>
                <w:webHidden/>
              </w:rPr>
              <w:t>12</w:t>
            </w:r>
            <w:r w:rsidR="00A507A9">
              <w:rPr>
                <w:noProof/>
                <w:webHidden/>
              </w:rPr>
              <w:fldChar w:fldCharType="end"/>
            </w:r>
          </w:hyperlink>
        </w:p>
        <w:p w:rsidR="00A507A9" w:rsidRDefault="0033367F">
          <w:pPr>
            <w:pStyle w:val="Obsah2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443482110" w:history="1">
            <w:r w:rsidR="00A507A9" w:rsidRPr="0074122A">
              <w:rPr>
                <w:rStyle w:val="Hypertextovodkaz"/>
                <w:noProof/>
              </w:rPr>
              <w:t>3.3</w:t>
            </w:r>
            <w:r w:rsidR="00A507A9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507A9" w:rsidRPr="0074122A">
              <w:rPr>
                <w:rStyle w:val="Hypertextovodkaz"/>
                <w:noProof/>
              </w:rPr>
              <w:t>Druhové členění nákladů na vědu a výzkum</w:t>
            </w:r>
            <w:r w:rsidR="00A507A9">
              <w:rPr>
                <w:noProof/>
                <w:webHidden/>
              </w:rPr>
              <w:tab/>
            </w:r>
            <w:r w:rsidR="00A507A9">
              <w:rPr>
                <w:noProof/>
                <w:webHidden/>
              </w:rPr>
              <w:fldChar w:fldCharType="begin"/>
            </w:r>
            <w:r w:rsidR="00A507A9">
              <w:rPr>
                <w:noProof/>
                <w:webHidden/>
              </w:rPr>
              <w:instrText xml:space="preserve"> PAGEREF _Toc443482110 \h </w:instrText>
            </w:r>
            <w:r w:rsidR="00A507A9">
              <w:rPr>
                <w:noProof/>
                <w:webHidden/>
              </w:rPr>
            </w:r>
            <w:r w:rsidR="00A507A9">
              <w:rPr>
                <w:noProof/>
                <w:webHidden/>
              </w:rPr>
              <w:fldChar w:fldCharType="separate"/>
            </w:r>
            <w:r w:rsidR="009C2029">
              <w:rPr>
                <w:noProof/>
                <w:webHidden/>
              </w:rPr>
              <w:t>14</w:t>
            </w:r>
            <w:r w:rsidR="00A507A9">
              <w:rPr>
                <w:noProof/>
                <w:webHidden/>
              </w:rPr>
              <w:fldChar w:fldCharType="end"/>
            </w:r>
          </w:hyperlink>
        </w:p>
        <w:p w:rsidR="00A507A9" w:rsidRDefault="0033367F">
          <w:pPr>
            <w:pStyle w:val="Obsah1"/>
            <w:tabs>
              <w:tab w:val="left" w:pos="708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43482111" w:history="1">
            <w:r w:rsidR="00A507A9" w:rsidRPr="0074122A">
              <w:rPr>
                <w:rStyle w:val="Hypertextovodkaz"/>
                <w:noProof/>
              </w:rPr>
              <w:t>4</w:t>
            </w:r>
            <w:r w:rsidR="00A507A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507A9" w:rsidRPr="0074122A">
              <w:rPr>
                <w:rStyle w:val="Hypertextovodkaz"/>
                <w:noProof/>
              </w:rPr>
              <w:t>Hospodářský výsledek</w:t>
            </w:r>
            <w:r w:rsidR="00A507A9">
              <w:rPr>
                <w:noProof/>
                <w:webHidden/>
              </w:rPr>
              <w:tab/>
            </w:r>
            <w:r w:rsidR="00A507A9">
              <w:rPr>
                <w:noProof/>
                <w:webHidden/>
              </w:rPr>
              <w:fldChar w:fldCharType="begin"/>
            </w:r>
            <w:r w:rsidR="00A507A9">
              <w:rPr>
                <w:noProof/>
                <w:webHidden/>
              </w:rPr>
              <w:instrText xml:space="preserve"> PAGEREF _Toc443482111 \h </w:instrText>
            </w:r>
            <w:r w:rsidR="00A507A9">
              <w:rPr>
                <w:noProof/>
                <w:webHidden/>
              </w:rPr>
            </w:r>
            <w:r w:rsidR="00A507A9">
              <w:rPr>
                <w:noProof/>
                <w:webHidden/>
              </w:rPr>
              <w:fldChar w:fldCharType="separate"/>
            </w:r>
            <w:r w:rsidR="009C2029">
              <w:rPr>
                <w:noProof/>
                <w:webHidden/>
              </w:rPr>
              <w:t>16</w:t>
            </w:r>
            <w:r w:rsidR="00A507A9">
              <w:rPr>
                <w:noProof/>
                <w:webHidden/>
              </w:rPr>
              <w:fldChar w:fldCharType="end"/>
            </w:r>
          </w:hyperlink>
        </w:p>
        <w:p w:rsidR="00A507A9" w:rsidRDefault="0033367F">
          <w:pPr>
            <w:pStyle w:val="Obsah1"/>
            <w:tabs>
              <w:tab w:val="left" w:pos="708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43482112" w:history="1">
            <w:r w:rsidR="00A507A9" w:rsidRPr="0074122A">
              <w:rPr>
                <w:rStyle w:val="Hypertextovodkaz"/>
                <w:noProof/>
              </w:rPr>
              <w:t>5</w:t>
            </w:r>
            <w:r w:rsidR="00A507A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507A9" w:rsidRPr="0074122A">
              <w:rPr>
                <w:rStyle w:val="Hypertextovodkaz"/>
                <w:noProof/>
              </w:rPr>
              <w:t>Investiční prostředky</w:t>
            </w:r>
            <w:r w:rsidR="00A507A9">
              <w:rPr>
                <w:noProof/>
                <w:webHidden/>
              </w:rPr>
              <w:tab/>
            </w:r>
            <w:r w:rsidR="00A507A9">
              <w:rPr>
                <w:noProof/>
                <w:webHidden/>
              </w:rPr>
              <w:fldChar w:fldCharType="begin"/>
            </w:r>
            <w:r w:rsidR="00A507A9">
              <w:rPr>
                <w:noProof/>
                <w:webHidden/>
              </w:rPr>
              <w:instrText xml:space="preserve"> PAGEREF _Toc443482112 \h </w:instrText>
            </w:r>
            <w:r w:rsidR="00A507A9">
              <w:rPr>
                <w:noProof/>
                <w:webHidden/>
              </w:rPr>
            </w:r>
            <w:r w:rsidR="00A507A9">
              <w:rPr>
                <w:noProof/>
                <w:webHidden/>
              </w:rPr>
              <w:fldChar w:fldCharType="separate"/>
            </w:r>
            <w:r w:rsidR="009C2029">
              <w:rPr>
                <w:noProof/>
                <w:webHidden/>
              </w:rPr>
              <w:t>18</w:t>
            </w:r>
            <w:r w:rsidR="00A507A9">
              <w:rPr>
                <w:noProof/>
                <w:webHidden/>
              </w:rPr>
              <w:fldChar w:fldCharType="end"/>
            </w:r>
          </w:hyperlink>
        </w:p>
        <w:p w:rsidR="00A507A9" w:rsidRDefault="0033367F">
          <w:pPr>
            <w:pStyle w:val="Obsah2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443482113" w:history="1">
            <w:r w:rsidR="00A507A9" w:rsidRPr="0074122A">
              <w:rPr>
                <w:rStyle w:val="Hypertextovodkaz"/>
                <w:noProof/>
              </w:rPr>
              <w:t>5.1</w:t>
            </w:r>
            <w:r w:rsidR="00A507A9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507A9" w:rsidRPr="0074122A">
              <w:rPr>
                <w:rStyle w:val="Hypertextovodkaz"/>
                <w:noProof/>
              </w:rPr>
              <w:t>Tvorba a čerpání fondů</w:t>
            </w:r>
            <w:r w:rsidR="00A507A9">
              <w:rPr>
                <w:noProof/>
                <w:webHidden/>
              </w:rPr>
              <w:tab/>
            </w:r>
            <w:r w:rsidR="00A507A9">
              <w:rPr>
                <w:noProof/>
                <w:webHidden/>
              </w:rPr>
              <w:fldChar w:fldCharType="begin"/>
            </w:r>
            <w:r w:rsidR="00A507A9">
              <w:rPr>
                <w:noProof/>
                <w:webHidden/>
              </w:rPr>
              <w:instrText xml:space="preserve"> PAGEREF _Toc443482113 \h </w:instrText>
            </w:r>
            <w:r w:rsidR="00A507A9">
              <w:rPr>
                <w:noProof/>
                <w:webHidden/>
              </w:rPr>
            </w:r>
            <w:r w:rsidR="00A507A9">
              <w:rPr>
                <w:noProof/>
                <w:webHidden/>
              </w:rPr>
              <w:fldChar w:fldCharType="separate"/>
            </w:r>
            <w:r w:rsidR="009C2029">
              <w:rPr>
                <w:noProof/>
                <w:webHidden/>
              </w:rPr>
              <w:t>19</w:t>
            </w:r>
            <w:r w:rsidR="00A507A9">
              <w:rPr>
                <w:noProof/>
                <w:webHidden/>
              </w:rPr>
              <w:fldChar w:fldCharType="end"/>
            </w:r>
          </w:hyperlink>
        </w:p>
        <w:p w:rsidR="00A507A9" w:rsidRDefault="0033367F">
          <w:pPr>
            <w:pStyle w:val="Obsah1"/>
            <w:tabs>
              <w:tab w:val="left" w:pos="708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43482114" w:history="1">
            <w:r w:rsidR="00A507A9" w:rsidRPr="0074122A">
              <w:rPr>
                <w:rStyle w:val="Hypertextovodkaz"/>
                <w:noProof/>
              </w:rPr>
              <w:t>6</w:t>
            </w:r>
            <w:r w:rsidR="00A507A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507A9" w:rsidRPr="0074122A">
              <w:rPr>
                <w:rStyle w:val="Hypertextovodkaz"/>
                <w:noProof/>
              </w:rPr>
              <w:t>Závěr</w:t>
            </w:r>
            <w:r w:rsidR="00A507A9">
              <w:rPr>
                <w:noProof/>
                <w:webHidden/>
              </w:rPr>
              <w:tab/>
            </w:r>
            <w:r w:rsidR="00A507A9">
              <w:rPr>
                <w:noProof/>
                <w:webHidden/>
              </w:rPr>
              <w:fldChar w:fldCharType="begin"/>
            </w:r>
            <w:r w:rsidR="00A507A9">
              <w:rPr>
                <w:noProof/>
                <w:webHidden/>
              </w:rPr>
              <w:instrText xml:space="preserve"> PAGEREF _Toc443482114 \h </w:instrText>
            </w:r>
            <w:r w:rsidR="00A507A9">
              <w:rPr>
                <w:noProof/>
                <w:webHidden/>
              </w:rPr>
            </w:r>
            <w:r w:rsidR="00A507A9">
              <w:rPr>
                <w:noProof/>
                <w:webHidden/>
              </w:rPr>
              <w:fldChar w:fldCharType="separate"/>
            </w:r>
            <w:r w:rsidR="009C2029">
              <w:rPr>
                <w:noProof/>
                <w:webHidden/>
              </w:rPr>
              <w:t>21</w:t>
            </w:r>
            <w:r w:rsidR="00A507A9">
              <w:rPr>
                <w:noProof/>
                <w:webHidden/>
              </w:rPr>
              <w:fldChar w:fldCharType="end"/>
            </w:r>
          </w:hyperlink>
        </w:p>
        <w:p w:rsidR="009F1FA3" w:rsidRDefault="009F1FA3">
          <w:r>
            <w:rPr>
              <w:b/>
              <w:bCs/>
            </w:rPr>
            <w:fldChar w:fldCharType="end"/>
          </w:r>
        </w:p>
      </w:sdtContent>
    </w:sdt>
    <w:p w:rsidR="002817EF" w:rsidRDefault="002817EF">
      <w:pPr>
        <w:jc w:val="left"/>
        <w:rPr>
          <w:rFonts w:ascii="Times New Roman" w:eastAsia="Times New Roman" w:hAnsi="Times New Roman" w:cs="Arial"/>
          <w:b/>
          <w:bCs/>
          <w:caps/>
          <w:color w:val="0070C0"/>
          <w:kern w:val="32"/>
          <w:sz w:val="44"/>
          <w:szCs w:val="32"/>
          <w:lang w:eastAsia="cs-CZ"/>
        </w:rPr>
      </w:pPr>
      <w:r>
        <w:br w:type="page"/>
      </w:r>
    </w:p>
    <w:p w:rsidR="002817EF" w:rsidRDefault="002817EF" w:rsidP="003F7539">
      <w:pPr>
        <w:pStyle w:val="Nadpis1"/>
        <w:sectPr w:rsidR="002817EF" w:rsidSect="00A8143A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69E9" w:rsidRDefault="00E969E9" w:rsidP="003F7539">
      <w:pPr>
        <w:pStyle w:val="Nadpis1"/>
      </w:pPr>
      <w:bookmarkStart w:id="0" w:name="_Toc443482104"/>
      <w:r>
        <w:lastRenderedPageBreak/>
        <w:t>Úvod</w:t>
      </w:r>
      <w:bookmarkEnd w:id="0"/>
    </w:p>
    <w:p w:rsidR="008F0D3C" w:rsidRDefault="008F0D3C">
      <w:pPr>
        <w:jc w:val="left"/>
        <w:rPr>
          <w:lang w:eastAsia="cs-CZ"/>
        </w:rPr>
      </w:pPr>
      <w:r>
        <w:rPr>
          <w:lang w:eastAsia="cs-CZ"/>
        </w:rPr>
        <w:br w:type="page"/>
      </w:r>
    </w:p>
    <w:p w:rsidR="00E969E9" w:rsidRDefault="00E969E9" w:rsidP="003F7539">
      <w:pPr>
        <w:pStyle w:val="Nadpis1"/>
        <w:numPr>
          <w:ilvl w:val="0"/>
          <w:numId w:val="0"/>
        </w:numPr>
      </w:pPr>
    </w:p>
    <w:p w:rsidR="00412A58" w:rsidRPr="00C21418" w:rsidRDefault="00412A58" w:rsidP="00200581">
      <w:pPr>
        <w:pStyle w:val="Denisa"/>
        <w:jc w:val="both"/>
        <w:rPr>
          <w:rFonts w:asciiTheme="minorHAnsi" w:hAnsiTheme="minorHAnsi"/>
          <w:sz w:val="20"/>
          <w:szCs w:val="20"/>
        </w:rPr>
      </w:pPr>
      <w:r w:rsidRPr="00C21418">
        <w:rPr>
          <w:rFonts w:asciiTheme="minorHAnsi" w:hAnsiTheme="minorHAnsi"/>
          <w:sz w:val="20"/>
          <w:szCs w:val="20"/>
        </w:rPr>
        <w:t>Ve smyslu § 27, odstavce 1</w:t>
      </w:r>
      <w:r w:rsidR="003962FC">
        <w:rPr>
          <w:rFonts w:asciiTheme="minorHAnsi" w:hAnsiTheme="minorHAnsi"/>
          <w:sz w:val="20"/>
          <w:szCs w:val="20"/>
        </w:rPr>
        <w:t>d)</w:t>
      </w:r>
      <w:r w:rsidRPr="00C21418">
        <w:rPr>
          <w:rFonts w:asciiTheme="minorHAnsi" w:hAnsiTheme="minorHAnsi"/>
          <w:sz w:val="20"/>
          <w:szCs w:val="20"/>
        </w:rPr>
        <w:t>, zákona č. 111/1998 Sb., děkan Fakulty zdravotnických studií předkládá zprávu o</w:t>
      </w:r>
      <w:r w:rsidR="00200581">
        <w:rPr>
          <w:rFonts w:asciiTheme="minorHAnsi" w:hAnsiTheme="minorHAnsi"/>
          <w:sz w:val="20"/>
          <w:szCs w:val="20"/>
        </w:rPr>
        <w:t> </w:t>
      </w:r>
      <w:r w:rsidRPr="00C21418">
        <w:rPr>
          <w:rFonts w:asciiTheme="minorHAnsi" w:hAnsiTheme="minorHAnsi"/>
          <w:sz w:val="20"/>
          <w:szCs w:val="20"/>
        </w:rPr>
        <w:t>hospodaření fakulty za rok 201</w:t>
      </w:r>
      <w:r w:rsidR="002F20D5">
        <w:rPr>
          <w:rFonts w:asciiTheme="minorHAnsi" w:hAnsiTheme="minorHAnsi"/>
          <w:sz w:val="20"/>
          <w:szCs w:val="20"/>
        </w:rPr>
        <w:t>9</w:t>
      </w:r>
      <w:r w:rsidRPr="00C21418">
        <w:rPr>
          <w:rFonts w:asciiTheme="minorHAnsi" w:hAnsiTheme="minorHAnsi"/>
          <w:sz w:val="20"/>
          <w:szCs w:val="20"/>
        </w:rPr>
        <w:t xml:space="preserve">. </w:t>
      </w:r>
    </w:p>
    <w:p w:rsidR="00412A58" w:rsidRPr="00C21418" w:rsidRDefault="00412A58" w:rsidP="00200581">
      <w:pPr>
        <w:pStyle w:val="Denisa"/>
        <w:jc w:val="both"/>
        <w:rPr>
          <w:rFonts w:asciiTheme="minorHAnsi" w:hAnsiTheme="minorHAnsi"/>
          <w:sz w:val="20"/>
          <w:szCs w:val="20"/>
        </w:rPr>
      </w:pPr>
      <w:r w:rsidRPr="00C21418">
        <w:rPr>
          <w:rFonts w:asciiTheme="minorHAnsi" w:hAnsiTheme="minorHAnsi"/>
          <w:sz w:val="20"/>
          <w:szCs w:val="20"/>
        </w:rPr>
        <w:t xml:space="preserve">První část výroční zprávy o hospodaření je věnována neinvestičním výnosům fakulty a jejich stručné analýze. </w:t>
      </w:r>
      <w:r w:rsidR="009E69CA">
        <w:rPr>
          <w:rFonts w:asciiTheme="minorHAnsi" w:hAnsiTheme="minorHAnsi"/>
          <w:sz w:val="20"/>
          <w:szCs w:val="20"/>
        </w:rPr>
        <w:t>V </w:t>
      </w:r>
      <w:r w:rsidRPr="00C21418">
        <w:rPr>
          <w:rFonts w:asciiTheme="minorHAnsi" w:hAnsiTheme="minorHAnsi"/>
          <w:sz w:val="20"/>
          <w:szCs w:val="20"/>
        </w:rPr>
        <w:t>druhé části je popsána struktura neinvestičních nákladů, a to jak z hlediska účelu a činností, na které byly využity, tak z hlediska druhového členění nákladů. Třetí část je věnována srovnání nákladů a výnosů včetně vyčíslení hospodářského výsledku fakulty. Ve čtvrté části je uvedena struktura investičních prostředků a</w:t>
      </w:r>
      <w:r w:rsidR="003962FC">
        <w:rPr>
          <w:rFonts w:asciiTheme="minorHAnsi" w:hAnsiTheme="minorHAnsi"/>
          <w:sz w:val="20"/>
          <w:szCs w:val="20"/>
        </w:rPr>
        <w:t> </w:t>
      </w:r>
      <w:r w:rsidRPr="00C21418">
        <w:rPr>
          <w:rFonts w:asciiTheme="minorHAnsi" w:hAnsiTheme="minorHAnsi"/>
          <w:sz w:val="20"/>
          <w:szCs w:val="20"/>
        </w:rPr>
        <w:t>přehled jejich čerpání. Pátá část je věnována rozboru tvorby a čerpání fondů, které má fakulta k dispozici. V</w:t>
      </w:r>
      <w:r w:rsidR="009E69CA">
        <w:rPr>
          <w:rFonts w:asciiTheme="minorHAnsi" w:hAnsiTheme="minorHAnsi"/>
          <w:sz w:val="20"/>
          <w:szCs w:val="20"/>
        </w:rPr>
        <w:t> z</w:t>
      </w:r>
      <w:r w:rsidRPr="00C21418">
        <w:rPr>
          <w:rFonts w:asciiTheme="minorHAnsi" w:hAnsiTheme="minorHAnsi"/>
          <w:sz w:val="20"/>
          <w:szCs w:val="20"/>
        </w:rPr>
        <w:t xml:space="preserve">ávěru zprávy je provedeno konečné shrnutí a zhodnocení všech podstatných informací. </w:t>
      </w:r>
    </w:p>
    <w:p w:rsidR="00E969E9" w:rsidRPr="00C21418" w:rsidRDefault="00E969E9" w:rsidP="00E969E9">
      <w:pPr>
        <w:rPr>
          <w:szCs w:val="20"/>
        </w:rPr>
      </w:pPr>
      <w:r w:rsidRPr="00C21418">
        <w:rPr>
          <w:szCs w:val="20"/>
        </w:rPr>
        <w:br w:type="page"/>
      </w:r>
    </w:p>
    <w:p w:rsidR="00E969E9" w:rsidRDefault="001E76A0" w:rsidP="003F7539">
      <w:pPr>
        <w:pStyle w:val="Nadpis1"/>
        <w:numPr>
          <w:ilvl w:val="0"/>
          <w:numId w:val="29"/>
        </w:numPr>
      </w:pPr>
      <w:bookmarkStart w:id="1" w:name="_Toc443482105"/>
      <w:r>
        <w:lastRenderedPageBreak/>
        <w:t>Neinvestiční výnosy</w:t>
      </w:r>
      <w:bookmarkEnd w:id="1"/>
    </w:p>
    <w:p w:rsidR="00E969E9" w:rsidRDefault="00E969E9" w:rsidP="00E969E9">
      <w:r>
        <w:br w:type="page"/>
      </w:r>
    </w:p>
    <w:p w:rsidR="00E969E9" w:rsidRPr="00AD7E5A" w:rsidRDefault="00193215" w:rsidP="00DE316F">
      <w:pPr>
        <w:pStyle w:val="Nadpis2"/>
      </w:pPr>
      <w:bookmarkStart w:id="2" w:name="_Toc443482106"/>
      <w:r>
        <w:lastRenderedPageBreak/>
        <w:t>Srovnání skutečných výnosů s rozpočtem</w:t>
      </w:r>
      <w:bookmarkEnd w:id="2"/>
    </w:p>
    <w:p w:rsidR="00193215" w:rsidRDefault="00193215" w:rsidP="00BB760A">
      <w:pPr>
        <w:spacing w:after="0"/>
      </w:pPr>
      <w:r>
        <w:t>Neinvestiční výnosy FZS v roce 201</w:t>
      </w:r>
      <w:r w:rsidR="002F20D5">
        <w:t>9</w:t>
      </w:r>
      <w:r>
        <w:t xml:space="preserve"> činily </w:t>
      </w:r>
      <w:r w:rsidR="002F20D5">
        <w:rPr>
          <w:b/>
        </w:rPr>
        <w:t>69 876</w:t>
      </w:r>
      <w:r w:rsidR="005331D4" w:rsidRPr="00BA7051">
        <w:rPr>
          <w:b/>
        </w:rPr>
        <w:t xml:space="preserve"> </w:t>
      </w:r>
      <w:r w:rsidRPr="00BA7051">
        <w:rPr>
          <w:b/>
        </w:rPr>
        <w:t>tis. Kč</w:t>
      </w:r>
      <w:r>
        <w:t>.</w:t>
      </w:r>
      <w:r w:rsidR="009E69CA">
        <w:t xml:space="preserve"> </w:t>
      </w:r>
      <w:r>
        <w:t>Podrobnější členění nein</w:t>
      </w:r>
      <w:r w:rsidR="004922C1">
        <w:t>vestičních výnosů je uvedeno v t</w:t>
      </w:r>
      <w:r>
        <w:t>abulce 1, ve které je zároveň vyčíslen i rozdíl oproti schválenému rozpočtu.</w:t>
      </w:r>
    </w:p>
    <w:p w:rsidR="005331D4" w:rsidRDefault="005331D4" w:rsidP="00BB760A">
      <w:pPr>
        <w:spacing w:after="0"/>
      </w:pPr>
    </w:p>
    <w:p w:rsidR="002F20D5" w:rsidRDefault="005331D4" w:rsidP="00185930">
      <w:pPr>
        <w:pStyle w:val="Titulek"/>
        <w:spacing w:after="120"/>
        <w:rPr>
          <w:sz w:val="22"/>
        </w:rPr>
      </w:pPr>
      <w:r w:rsidRPr="009E69CA">
        <w:rPr>
          <w:color w:val="auto"/>
          <w:sz w:val="20"/>
          <w:szCs w:val="20"/>
        </w:rPr>
        <w:t xml:space="preserve">Tabulka </w:t>
      </w:r>
      <w:r w:rsidR="00113232" w:rsidRPr="009E69CA">
        <w:rPr>
          <w:color w:val="auto"/>
          <w:sz w:val="20"/>
          <w:szCs w:val="20"/>
        </w:rPr>
        <w:fldChar w:fldCharType="begin"/>
      </w:r>
      <w:r w:rsidR="00113232" w:rsidRPr="009E69CA">
        <w:rPr>
          <w:color w:val="auto"/>
          <w:sz w:val="20"/>
          <w:szCs w:val="20"/>
        </w:rPr>
        <w:instrText xml:space="preserve"> SEQ Tabulka \* ARABIC </w:instrText>
      </w:r>
      <w:r w:rsidR="00113232" w:rsidRPr="009E69CA">
        <w:rPr>
          <w:color w:val="auto"/>
          <w:sz w:val="20"/>
          <w:szCs w:val="20"/>
        </w:rPr>
        <w:fldChar w:fldCharType="separate"/>
      </w:r>
      <w:r w:rsidR="00434C82">
        <w:rPr>
          <w:noProof/>
          <w:color w:val="auto"/>
          <w:sz w:val="20"/>
          <w:szCs w:val="20"/>
        </w:rPr>
        <w:t>1</w:t>
      </w:r>
      <w:r w:rsidR="00113232" w:rsidRPr="009E69CA">
        <w:rPr>
          <w:noProof/>
          <w:color w:val="auto"/>
          <w:sz w:val="20"/>
          <w:szCs w:val="20"/>
        </w:rPr>
        <w:fldChar w:fldCharType="end"/>
      </w:r>
      <w:r w:rsidRPr="009E69CA">
        <w:rPr>
          <w:color w:val="auto"/>
          <w:sz w:val="20"/>
          <w:szCs w:val="20"/>
        </w:rPr>
        <w:t xml:space="preserve"> Čl</w:t>
      </w:r>
      <w:r w:rsidR="002F20D5">
        <w:rPr>
          <w:color w:val="auto"/>
          <w:sz w:val="20"/>
          <w:szCs w:val="20"/>
        </w:rPr>
        <w:t>enění neinvestičních výnosů 2019</w:t>
      </w:r>
      <w:r w:rsidR="002F20D5">
        <w:fldChar w:fldCharType="begin"/>
      </w:r>
      <w:r w:rsidR="002F20D5">
        <w:instrText xml:space="preserve"> LINK </w:instrText>
      </w:r>
      <w:r w:rsidR="009C2029">
        <w:instrText xml:space="preserve">Excel.Sheet.12 "D:\\Data\\hath3393\\Plocha\\Tajemník\\Výroční zpráva\\2019\\hospodaření\\výroční zpráva 2019 - podklady.xlsx" NIV_vynosy2019!R1C1:R27C4 </w:instrText>
      </w:r>
      <w:r w:rsidR="002F20D5">
        <w:instrText xml:space="preserve">\a \f 4 \h  \* MERGEFORMAT </w:instrText>
      </w:r>
      <w:r w:rsidR="002F20D5">
        <w:fldChar w:fldCharType="separate"/>
      </w:r>
    </w:p>
    <w:tbl>
      <w:tblPr>
        <w:tblW w:w="9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4"/>
        <w:gridCol w:w="1190"/>
        <w:gridCol w:w="1190"/>
        <w:gridCol w:w="1190"/>
      </w:tblGrid>
      <w:tr w:rsidR="002F20D5" w:rsidRPr="002F20D5" w:rsidTr="002F20D5">
        <w:trPr>
          <w:trHeight w:val="314"/>
        </w:trPr>
        <w:tc>
          <w:tcPr>
            <w:tcW w:w="557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Neinvestiční výnosy (v tis. Kč)</w:t>
            </w:r>
          </w:p>
        </w:tc>
        <w:tc>
          <w:tcPr>
            <w:tcW w:w="119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Rozpočet</w:t>
            </w:r>
          </w:p>
        </w:tc>
        <w:tc>
          <w:tcPr>
            <w:tcW w:w="119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Rozdíl</w:t>
            </w:r>
          </w:p>
        </w:tc>
        <w:tc>
          <w:tcPr>
            <w:tcW w:w="119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Skutečnost</w:t>
            </w:r>
          </w:p>
        </w:tc>
      </w:tr>
      <w:tr w:rsidR="002F20D5" w:rsidRPr="002F20D5" w:rsidTr="002F20D5">
        <w:trPr>
          <w:trHeight w:val="481"/>
        </w:trPr>
        <w:tc>
          <w:tcPr>
            <w:tcW w:w="557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19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19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19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</w:tr>
      <w:tr w:rsidR="002F20D5" w:rsidRPr="002F20D5" w:rsidTr="002F20D5">
        <w:trPr>
          <w:trHeight w:val="314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Neinvestiční prostředky (příspěvek, dotace) MŠMT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59 989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60 059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studijní programy (ukazatel AK):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59 757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59 757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 xml:space="preserve">        příspěvek útvaru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59 757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59 757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stipendia - doktorandi (ukazatel C)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zahraniční studenti, mezinárodní spolupráce (ukazatel D)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70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rozvojové a transformační projekty MŠMT (ukazatel I):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232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232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Dotace na reprodukci majetku, (prog. financování) NIV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Podpora výzkumu a vývoje (MŠMT)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2 788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2 788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institucionální prostředky: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2 285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2 285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 xml:space="preserve">       rozvoj výzkumné organizace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2 285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2 285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účelové prostředky: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503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 xml:space="preserve">      specifický výzkum VŠ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503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Získané granty a projekty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3 160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957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4 117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GAČR, TAČR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1 075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1 075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OP VVV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1 931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819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2 750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další granty a projekty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154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138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292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Doplňková činnost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167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287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Čerpání fondů (FO, FPP, FÚUP, SF)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8 801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-7 083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1 718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Jiné příjmy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680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227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907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poplatky spojené se studiem: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626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 xml:space="preserve">      přijímací řízení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440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-7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433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 xml:space="preserve">      celoživotní vzdělávání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193</w:t>
            </w:r>
          </w:p>
        </w:tc>
      </w:tr>
      <w:tr w:rsidR="002F20D5" w:rsidRPr="002F20D5" w:rsidTr="002F20D5">
        <w:trPr>
          <w:trHeight w:val="299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další příjmy z hlavní činnosti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140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201</w:t>
            </w:r>
          </w:p>
        </w:tc>
      </w:tr>
      <w:tr w:rsidR="002F20D5" w:rsidRPr="002F20D5" w:rsidTr="002F20D5">
        <w:trPr>
          <w:trHeight w:val="314"/>
        </w:trPr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0D5" w:rsidRPr="002F20D5" w:rsidRDefault="002F20D5" w:rsidP="007A2461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dary, dědictví a dotace od nadací, z fondů apod.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sz w:val="22"/>
                <w:lang w:eastAsia="cs-CZ"/>
              </w:rPr>
              <w:t>80</w:t>
            </w:r>
          </w:p>
        </w:tc>
      </w:tr>
      <w:tr w:rsidR="002F20D5" w:rsidRPr="002F20D5" w:rsidTr="002F20D5">
        <w:trPr>
          <w:trHeight w:val="329"/>
        </w:trPr>
        <w:tc>
          <w:tcPr>
            <w:tcW w:w="55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20D5" w:rsidRPr="002F20D5" w:rsidRDefault="002F20D5" w:rsidP="002F2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Celkem</w:t>
            </w:r>
          </w:p>
        </w:tc>
        <w:tc>
          <w:tcPr>
            <w:tcW w:w="119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75 538</w:t>
            </w:r>
          </w:p>
        </w:tc>
        <w:tc>
          <w:tcPr>
            <w:tcW w:w="119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-5 662</w:t>
            </w:r>
          </w:p>
        </w:tc>
        <w:tc>
          <w:tcPr>
            <w:tcW w:w="119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F20D5" w:rsidRPr="002F20D5" w:rsidRDefault="002F20D5" w:rsidP="002F2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2F20D5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69 876</w:t>
            </w:r>
          </w:p>
        </w:tc>
      </w:tr>
    </w:tbl>
    <w:p w:rsidR="00D51675" w:rsidRDefault="002F20D5" w:rsidP="002F7574">
      <w:pPr>
        <w:spacing w:after="120" w:line="240" w:lineRule="auto"/>
        <w:rPr>
          <w:sz w:val="22"/>
        </w:rPr>
      </w:pPr>
      <w:r>
        <w:fldChar w:fldCharType="end"/>
      </w:r>
      <w:r w:rsidR="00D51675">
        <w:fldChar w:fldCharType="begin"/>
      </w:r>
      <w:r w:rsidR="00D51675">
        <w:instrText xml:space="preserve"> LINK </w:instrText>
      </w:r>
      <w:r w:rsidR="009C2029">
        <w:instrText xml:space="preserve">Excel.Sheet.12 "D:\\Data\\hath3393\\Plocha\\Tajemník\\Výroční zpráva\\2018\\hospodaření\\výroční zpráva 2018 - podklady.xlsx" NIV_vynosy2018!R1C1:R27C4 </w:instrText>
      </w:r>
      <w:r w:rsidR="00D51675">
        <w:instrText xml:space="preserve">\a \f 4 \h </w:instrText>
      </w:r>
      <w:r w:rsidR="00D51675">
        <w:fldChar w:fldCharType="separate"/>
      </w:r>
    </w:p>
    <w:p w:rsidR="00231BC2" w:rsidRDefault="00D51675" w:rsidP="00185930">
      <w:pPr>
        <w:spacing w:after="120" w:line="240" w:lineRule="auto"/>
      </w:pPr>
      <w:r>
        <w:fldChar w:fldCharType="end"/>
      </w:r>
      <w:r w:rsidR="00193215">
        <w:t>V průběhu roku 201</w:t>
      </w:r>
      <w:r w:rsidR="002F20D5">
        <w:t>9</w:t>
      </w:r>
      <w:r w:rsidR="00193215">
        <w:t xml:space="preserve"> </w:t>
      </w:r>
      <w:r w:rsidR="00050358">
        <w:t xml:space="preserve">se </w:t>
      </w:r>
      <w:r w:rsidR="00193215">
        <w:t xml:space="preserve">rozpočtované neinvestiční výnosy </w:t>
      </w:r>
      <w:r w:rsidR="002F20D5">
        <w:t>snížily</w:t>
      </w:r>
      <w:r w:rsidR="005331D4">
        <w:t xml:space="preserve"> oproti plánu</w:t>
      </w:r>
      <w:r w:rsidR="00193215">
        <w:t xml:space="preserve"> v souhrnu o </w:t>
      </w:r>
      <w:r w:rsidR="002F20D5">
        <w:t>5 662</w:t>
      </w:r>
      <w:r w:rsidR="005331D4">
        <w:t xml:space="preserve"> tis. Kč (tj. </w:t>
      </w:r>
      <w:r w:rsidR="00CC3F89">
        <w:t>o </w:t>
      </w:r>
      <w:r w:rsidR="002F20D5">
        <w:t>7,5</w:t>
      </w:r>
      <w:r w:rsidR="005331D4">
        <w:t> </w:t>
      </w:r>
      <w:r w:rsidR="004E5A29">
        <w:t xml:space="preserve">%). Vliv na </w:t>
      </w:r>
      <w:r w:rsidR="002F20D5">
        <w:t>pokles</w:t>
      </w:r>
      <w:r w:rsidR="004E5A29">
        <w:t xml:space="preserve"> výnosů </w:t>
      </w:r>
      <w:r w:rsidR="00404A90">
        <w:t>měla zejména položka f</w:t>
      </w:r>
      <w:r w:rsidR="002F20D5">
        <w:t>ondu provozních prostředků, konkrétně fond z nevyčerpané dotace roku 2018. Prostředky fondu</w:t>
      </w:r>
      <w:r w:rsidR="00185930">
        <w:t xml:space="preserve"> jsou v případě čerpání považovány za výnos. V roce 2019 nebyly tyto prostředky</w:t>
      </w:r>
      <w:r w:rsidR="002F20D5">
        <w:t xml:space="preserve"> záměrně čerpány, jsou zdrojem pro budoucí spoluúčast financování přesunu fakulty do nových, vlastních prostor.</w:t>
      </w:r>
      <w:r w:rsidR="004E5A29">
        <w:t xml:space="preserve"> </w:t>
      </w:r>
      <w:r w:rsidR="007A2461">
        <w:t>Z celkové částky fondů byl v plné výši vyčerpán pouze stipendijní fond děk</w:t>
      </w:r>
      <w:r w:rsidR="009C2029">
        <w:t>ana. Prostředky z tohoto fondu b</w:t>
      </w:r>
      <w:r w:rsidR="007A2461">
        <w:t xml:space="preserve">yly využity na výplatu ubytovacího, sociálního, prospěchového stipendia a na výplatu stipendií spojených s účastí studentů na soutěžích, exkurzích, konferencích, kurzech pořádaných fakultou a propagačních akcích fakulty. </w:t>
      </w:r>
      <w:r w:rsidR="00694FD0">
        <w:t>V</w:t>
      </w:r>
      <w:r w:rsidR="00694C0C">
        <w:t>ýnosy</w:t>
      </w:r>
      <w:r>
        <w:t xml:space="preserve"> pozitivně </w:t>
      </w:r>
      <w:r w:rsidR="00694C0C">
        <w:t>ovlivnila</w:t>
      </w:r>
      <w:r>
        <w:t xml:space="preserve"> r</w:t>
      </w:r>
      <w:r w:rsidR="00342A74">
        <w:t>ealizace kurzů celoživotního vzdělávání a doplňkové činnosti</w:t>
      </w:r>
      <w:r w:rsidR="002F20D5">
        <w:t>, zároveň vyšší čerpání z neinvestičních projekt</w:t>
      </w:r>
      <w:r w:rsidR="00404A90">
        <w:t>ů o</w:t>
      </w:r>
      <w:r w:rsidR="002F20D5">
        <w:t>peračního programu Věda, výzkum, vzdělávání (OP</w:t>
      </w:r>
      <w:r w:rsidR="007A2461">
        <w:t> </w:t>
      </w:r>
      <w:r w:rsidR="002F20D5">
        <w:t xml:space="preserve"> VVV). </w:t>
      </w:r>
      <w:r w:rsidR="00342A74">
        <w:t xml:space="preserve"> </w:t>
      </w:r>
    </w:p>
    <w:p w:rsidR="00231BC2" w:rsidRDefault="00412ED4" w:rsidP="00E969E9">
      <w:r>
        <w:t>Procentuální zastoupení jednotlivých položek neinvestičních výnosů je z</w:t>
      </w:r>
      <w:r w:rsidR="004922C1">
        <w:t>názorněno na následujícím grafu na obrázku 1.</w:t>
      </w:r>
    </w:p>
    <w:p w:rsidR="0075184E" w:rsidRDefault="0075184E" w:rsidP="0075184E">
      <w:pPr>
        <w:keepNext/>
        <w:jc w:val="center"/>
      </w:pPr>
    </w:p>
    <w:p w:rsidR="00694FD0" w:rsidRDefault="003F7539" w:rsidP="00694FD0">
      <w:r>
        <w:rPr>
          <w:noProof/>
          <w:lang w:eastAsia="cs-CZ"/>
        </w:rPr>
        <w:drawing>
          <wp:inline distT="0" distB="0" distL="0" distR="0" wp14:anchorId="5678A583" wp14:editId="7E633AAB">
            <wp:extent cx="5760720" cy="3146425"/>
            <wp:effectExtent l="0" t="0" r="11430" b="1587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7574" w:rsidRDefault="004922C1" w:rsidP="002F7574">
      <w:pPr>
        <w:pStyle w:val="Titulek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Obrázek</w:t>
      </w:r>
      <w:r w:rsidR="002F7574" w:rsidRPr="009E69CA">
        <w:rPr>
          <w:color w:val="auto"/>
          <w:sz w:val="20"/>
          <w:szCs w:val="20"/>
        </w:rPr>
        <w:t xml:space="preserve"> </w:t>
      </w:r>
      <w:r w:rsidR="002F7574" w:rsidRPr="009E69CA">
        <w:rPr>
          <w:color w:val="auto"/>
          <w:sz w:val="20"/>
          <w:szCs w:val="20"/>
        </w:rPr>
        <w:fldChar w:fldCharType="begin"/>
      </w:r>
      <w:r w:rsidR="002F7574" w:rsidRPr="009E69CA">
        <w:rPr>
          <w:color w:val="auto"/>
          <w:sz w:val="20"/>
          <w:szCs w:val="20"/>
        </w:rPr>
        <w:instrText xml:space="preserve"> SEQ Obrázek \* ARABIC </w:instrText>
      </w:r>
      <w:r w:rsidR="002F7574" w:rsidRPr="009E69CA">
        <w:rPr>
          <w:color w:val="auto"/>
          <w:sz w:val="20"/>
          <w:szCs w:val="20"/>
        </w:rPr>
        <w:fldChar w:fldCharType="separate"/>
      </w:r>
      <w:r w:rsidR="00434C82">
        <w:rPr>
          <w:noProof/>
          <w:color w:val="auto"/>
          <w:sz w:val="20"/>
          <w:szCs w:val="20"/>
        </w:rPr>
        <w:t>1</w:t>
      </w:r>
      <w:r w:rsidR="002F7574" w:rsidRPr="009E69CA">
        <w:rPr>
          <w:noProof/>
          <w:color w:val="auto"/>
          <w:sz w:val="20"/>
          <w:szCs w:val="20"/>
        </w:rPr>
        <w:fldChar w:fldCharType="end"/>
      </w:r>
      <w:r w:rsidR="002F7574" w:rsidRPr="009E69CA">
        <w:rPr>
          <w:color w:val="auto"/>
          <w:sz w:val="20"/>
          <w:szCs w:val="20"/>
        </w:rPr>
        <w:t xml:space="preserve"> Procentuální složení neinvestičních výnosů</w:t>
      </w:r>
    </w:p>
    <w:p w:rsidR="004E5A29" w:rsidRDefault="000C24C4" w:rsidP="002D66B9">
      <w:r>
        <w:t>Nejdůležitějším zdrojem pro financování FZS v roce 201</w:t>
      </w:r>
      <w:r w:rsidR="003F7539">
        <w:t>9</w:t>
      </w:r>
      <w:r w:rsidR="002D66B9">
        <w:t>, stejně jako v předchozích letech,</w:t>
      </w:r>
      <w:r>
        <w:t xml:space="preserve"> byly dotace a</w:t>
      </w:r>
      <w:r w:rsidR="00694FD0">
        <w:t> </w:t>
      </w:r>
      <w:r>
        <w:t xml:space="preserve">příspěvky na vzdělávací činnost, které </w:t>
      </w:r>
      <w:r w:rsidR="00B30E25">
        <w:t>tvořily</w:t>
      </w:r>
      <w:r>
        <w:t xml:space="preserve"> </w:t>
      </w:r>
      <w:r w:rsidR="003F7539">
        <w:t>85,95</w:t>
      </w:r>
      <w:r>
        <w:t xml:space="preserve"> % všech neinvestičních výnosů. Finanční prostředky na podporu</w:t>
      </w:r>
      <w:r w:rsidR="002D66B9">
        <w:t xml:space="preserve"> </w:t>
      </w:r>
      <w:r>
        <w:t>výzkumu a vývoje činily</w:t>
      </w:r>
      <w:r w:rsidR="002D66B9">
        <w:t xml:space="preserve"> </w:t>
      </w:r>
      <w:r w:rsidR="003F7539">
        <w:t>3,99</w:t>
      </w:r>
      <w:r>
        <w:t xml:space="preserve"> </w:t>
      </w:r>
      <w:r w:rsidR="006E2FCA">
        <w:t xml:space="preserve">% všech neinvestičních výnosů. </w:t>
      </w:r>
      <w:r>
        <w:t>V následujících letech bude potřebné zvýšení objemu účelově určených prostředků na vědecko-výzkumnou činnost a tedy i zvýšení podílu těchto prostředků na celkových výnosech fakulty.</w:t>
      </w:r>
      <w:r w:rsidR="00B30E25">
        <w:t xml:space="preserve"> </w:t>
      </w:r>
      <w:r w:rsidR="003F7539">
        <w:t>P</w:t>
      </w:r>
      <w:r w:rsidR="004E5A29">
        <w:t xml:space="preserve">odíl na výnosech tvoří </w:t>
      </w:r>
      <w:r w:rsidR="00D51675">
        <w:t>záro</w:t>
      </w:r>
      <w:r w:rsidR="003F7539">
        <w:t>veň zdroje z projektů OP VVV a od roku</w:t>
      </w:r>
      <w:r w:rsidR="00D51675">
        <w:t xml:space="preserve"> 2018 </w:t>
      </w:r>
      <w:r w:rsidR="003F7539">
        <w:t>ze zdrojů projektu</w:t>
      </w:r>
      <w:r w:rsidR="00D51675">
        <w:t xml:space="preserve"> TAČR Éta. </w:t>
      </w:r>
      <w:r w:rsidR="00694FD0">
        <w:t xml:space="preserve">Zároveň došlo </w:t>
      </w:r>
      <w:r w:rsidR="00D51675">
        <w:t>k tvorbě fondu provozních prostředk</w:t>
      </w:r>
      <w:r w:rsidR="003F7539">
        <w:t>ů vytvořeného z dotace roku 2018</w:t>
      </w:r>
      <w:r w:rsidR="00D51675">
        <w:t xml:space="preserve">, který tvořil </w:t>
      </w:r>
      <w:r w:rsidR="003F7539">
        <w:t>2,46</w:t>
      </w:r>
      <w:r w:rsidR="00D51675">
        <w:t xml:space="preserve"> % celkového rozpočtu.</w:t>
      </w:r>
    </w:p>
    <w:p w:rsidR="000C24C4" w:rsidRDefault="00475C61" w:rsidP="00E969E9">
      <w:r>
        <w:t xml:space="preserve">Jakým způsobem se vyvíjela výše jednotlivých zdrojů financování </w:t>
      </w:r>
      <w:r w:rsidR="00412ED4">
        <w:t>v letech 2010 - 201</w:t>
      </w:r>
      <w:r w:rsidR="003F7539">
        <w:t>9</w:t>
      </w:r>
      <w:r>
        <w:t xml:space="preserve">, znázorňuje </w:t>
      </w:r>
      <w:r w:rsidR="00412ED4">
        <w:t>graf</w:t>
      </w:r>
      <w:r w:rsidR="009E69CA">
        <w:t xml:space="preserve"> </w:t>
      </w:r>
      <w:r w:rsidR="004922C1">
        <w:t>na obrázku</w:t>
      </w:r>
      <w:r w:rsidR="003F7539">
        <w:t> </w:t>
      </w:r>
      <w:r w:rsidR="004922C1">
        <w:t>2.</w:t>
      </w:r>
    </w:p>
    <w:p w:rsidR="000C24C4" w:rsidRPr="000C24C4" w:rsidRDefault="003F7539" w:rsidP="002A597F">
      <w:pPr>
        <w:jc w:val="center"/>
      </w:pPr>
      <w:r>
        <w:rPr>
          <w:noProof/>
          <w:lang w:eastAsia="cs-CZ"/>
        </w:rPr>
        <w:drawing>
          <wp:inline distT="0" distB="0" distL="0" distR="0" wp14:anchorId="080CD4D3" wp14:editId="3B31B68F">
            <wp:extent cx="5429250" cy="26670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69E9" w:rsidRPr="009E69CA" w:rsidRDefault="004922C1" w:rsidP="00C71FC7">
      <w:pPr>
        <w:pStyle w:val="Titulek"/>
        <w:jc w:val="center"/>
        <w:rPr>
          <w:color w:val="auto"/>
          <w:sz w:val="20"/>
          <w:szCs w:val="20"/>
        </w:rPr>
      </w:pPr>
      <w:bookmarkStart w:id="3" w:name="_Ref445810779"/>
      <w:r>
        <w:rPr>
          <w:color w:val="auto"/>
          <w:sz w:val="20"/>
          <w:szCs w:val="20"/>
        </w:rPr>
        <w:t xml:space="preserve">Obrázek </w:t>
      </w:r>
      <w:r w:rsidR="00113232" w:rsidRPr="009E69CA">
        <w:rPr>
          <w:color w:val="auto"/>
          <w:sz w:val="20"/>
          <w:szCs w:val="20"/>
        </w:rPr>
        <w:fldChar w:fldCharType="begin"/>
      </w:r>
      <w:r w:rsidR="00113232" w:rsidRPr="009E69CA">
        <w:rPr>
          <w:color w:val="auto"/>
          <w:sz w:val="20"/>
          <w:szCs w:val="20"/>
        </w:rPr>
        <w:instrText xml:space="preserve"> SEQ Obrázek \* ARABIC </w:instrText>
      </w:r>
      <w:r w:rsidR="00113232" w:rsidRPr="009E69CA">
        <w:rPr>
          <w:color w:val="auto"/>
          <w:sz w:val="20"/>
          <w:szCs w:val="20"/>
        </w:rPr>
        <w:fldChar w:fldCharType="separate"/>
      </w:r>
      <w:r w:rsidR="00434C82">
        <w:rPr>
          <w:noProof/>
          <w:color w:val="auto"/>
          <w:sz w:val="20"/>
          <w:szCs w:val="20"/>
        </w:rPr>
        <w:t>2</w:t>
      </w:r>
      <w:r w:rsidR="00113232" w:rsidRPr="009E69CA">
        <w:rPr>
          <w:noProof/>
          <w:color w:val="auto"/>
          <w:sz w:val="20"/>
          <w:szCs w:val="20"/>
        </w:rPr>
        <w:fldChar w:fldCharType="end"/>
      </w:r>
      <w:r w:rsidR="00C71FC7" w:rsidRPr="009E69CA">
        <w:rPr>
          <w:color w:val="auto"/>
          <w:sz w:val="20"/>
          <w:szCs w:val="20"/>
        </w:rPr>
        <w:t>: Struktura neinvestičních výnosů v letech 2010-201</w:t>
      </w:r>
      <w:bookmarkEnd w:id="3"/>
      <w:r w:rsidR="007A2461">
        <w:rPr>
          <w:color w:val="auto"/>
          <w:sz w:val="20"/>
          <w:szCs w:val="20"/>
        </w:rPr>
        <w:t>9</w:t>
      </w:r>
    </w:p>
    <w:p w:rsidR="00523216" w:rsidRDefault="00475C61" w:rsidP="00475C61">
      <w:r>
        <w:lastRenderedPageBreak/>
        <w:t>Z</w:t>
      </w:r>
      <w:r w:rsidR="004922C1">
        <w:t> </w:t>
      </w:r>
      <w:r>
        <w:t>gr</w:t>
      </w:r>
      <w:r w:rsidR="00327A54">
        <w:t>afu</w:t>
      </w:r>
      <w:r w:rsidR="004922C1">
        <w:t xml:space="preserve"> na obrázku</w:t>
      </w:r>
      <w:r w:rsidR="007A2461">
        <w:t xml:space="preserve"> 2</w:t>
      </w:r>
      <w:r w:rsidR="00327A54">
        <w:t xml:space="preserve"> je patrné, že </w:t>
      </w:r>
      <w:r w:rsidR="002D66B9">
        <w:t>do roku 2014</w:t>
      </w:r>
      <w:r w:rsidR="00327A54">
        <w:t xml:space="preserve"> rostla</w:t>
      </w:r>
      <w:r>
        <w:t xml:space="preserve"> </w:t>
      </w:r>
      <w:r w:rsidR="00C21418">
        <w:t>dotace na vzdělávací činnost</w:t>
      </w:r>
      <w:r w:rsidR="005B0615">
        <w:t>.</w:t>
      </w:r>
      <w:r w:rsidR="00327A54">
        <w:t xml:space="preserve"> </w:t>
      </w:r>
      <w:r w:rsidR="009E69CA">
        <w:t xml:space="preserve">Tato dotace poklesla </w:t>
      </w:r>
      <w:r w:rsidR="00327A54">
        <w:t>v roce 2015 v porovnání s rokem 2014 o 4 %</w:t>
      </w:r>
      <w:r w:rsidR="007A2461">
        <w:t>. V roce 2015 došlo ke změně ve výpočtu podílu fakulty na celkovém rozpočtu UPa a zároveň v letech 2015 – 2017 k poklesu celkového rozpočtu UPa, což se projevilo i na rozpočtu fakulty. Došlo k dalšímu poklesu dotace mezi roky 2015 a 2017 a to celkem o</w:t>
      </w:r>
      <w:r w:rsidR="009B4D28">
        <w:t xml:space="preserve"> 4,47 %</w:t>
      </w:r>
      <w:r w:rsidR="00327A54">
        <w:t>. Vliv</w:t>
      </w:r>
      <w:r w:rsidR="009B4D28">
        <w:t xml:space="preserve"> </w:t>
      </w:r>
      <w:r w:rsidR="00327A54">
        <w:t>na tuto skutečnost m</w:t>
      </w:r>
      <w:r w:rsidR="00B254F8">
        <w:t>ěl</w:t>
      </w:r>
      <w:r w:rsidR="00327A54">
        <w:t xml:space="preserve"> </w:t>
      </w:r>
      <w:r w:rsidR="002260CE">
        <w:t xml:space="preserve">pokles dotace </w:t>
      </w:r>
      <w:r w:rsidR="00786A28">
        <w:t xml:space="preserve">od </w:t>
      </w:r>
      <w:r w:rsidR="002260CE">
        <w:t>MŠMT</w:t>
      </w:r>
      <w:r w:rsidR="00327A54">
        <w:t>.</w:t>
      </w:r>
      <w:r w:rsidR="002260CE">
        <w:t xml:space="preserve"> </w:t>
      </w:r>
      <w:r w:rsidR="00786A28">
        <w:t>Od roku</w:t>
      </w:r>
      <w:r w:rsidR="002260CE">
        <w:t xml:space="preserve"> 2016 ne</w:t>
      </w:r>
      <w:r w:rsidR="00B254F8">
        <w:t>byl</w:t>
      </w:r>
      <w:r w:rsidR="002260CE">
        <w:t xml:space="preserve"> rozpočet rozdělován na základě pravidel předchozích let, ale jako poměr na celkové výši rozpočtu roku 2015.</w:t>
      </w:r>
      <w:r w:rsidR="00C21418">
        <w:t xml:space="preserve"> </w:t>
      </w:r>
      <w:r w:rsidR="00786A28">
        <w:t>Zároveň do</w:t>
      </w:r>
      <w:r w:rsidR="004922C1">
        <w:t>šlo</w:t>
      </w:r>
      <w:r w:rsidR="00786A28">
        <w:t xml:space="preserve"> k poklesu</w:t>
      </w:r>
      <w:r w:rsidR="00C21418">
        <w:t xml:space="preserve"> výše finančních prostředků </w:t>
      </w:r>
      <w:r w:rsidR="00327A54">
        <w:t xml:space="preserve">na </w:t>
      </w:r>
      <w:r w:rsidR="00C21418">
        <w:t>podporu výzkumu a vývoje</w:t>
      </w:r>
      <w:r w:rsidR="00150635">
        <w:t>, které jsou přidělovány na základě</w:t>
      </w:r>
      <w:r w:rsidR="00327A54">
        <w:t xml:space="preserve"> vykázaných bodů </w:t>
      </w:r>
      <w:r w:rsidR="009E69CA">
        <w:t>RIV</w:t>
      </w:r>
      <w:r w:rsidR="00C21418">
        <w:t xml:space="preserve">. </w:t>
      </w:r>
      <w:r w:rsidR="00786A28">
        <w:t>V roce 2017 došlo k významnému snížení fondů vytvořených z dotací předchozích let</w:t>
      </w:r>
      <w:r w:rsidR="00C21418">
        <w:t>.</w:t>
      </w:r>
      <w:r w:rsidR="00786A28">
        <w:t xml:space="preserve"> Fondy byly využity na úhradu osobních nákladů.</w:t>
      </w:r>
      <w:r w:rsidR="00327A54">
        <w:t xml:space="preserve"> </w:t>
      </w:r>
      <w:r w:rsidR="00523216">
        <w:t>Naopak v roce 2018 došlo k výraznému nárůstu dotace od MŠMT. Nárůst je způsoben navýšením rozpočtu vysokých škol a změnou způsobu rozděl</w:t>
      </w:r>
      <w:r w:rsidR="004922C1">
        <w:t>ování</w:t>
      </w:r>
      <w:r w:rsidR="00523216">
        <w:t xml:space="preserve"> v rámci Univerzity Pardubice.</w:t>
      </w:r>
    </w:p>
    <w:p w:rsidR="00523216" w:rsidRDefault="00523216" w:rsidP="00523216">
      <w:pPr>
        <w:spacing w:after="0"/>
      </w:pPr>
      <w:r>
        <w:t>Financování je odvozeno od rozsahu a ekonomické náročnosti výkonů vysoké školy (část fixní) a výstupů činnosti vysoké školy a jejich kvality (část výkonová). Poměr fixní a</w:t>
      </w:r>
      <w:r w:rsidR="003F7539">
        <w:t xml:space="preserve"> výkonové části byl pro rok 2019</w:t>
      </w:r>
      <w:r>
        <w:t xml:space="preserve"> stanoven v poměru 82,85 % ku 17,15 %. </w:t>
      </w:r>
      <w:r w:rsidRPr="00523216">
        <w:t>Příjmy za fixn</w:t>
      </w:r>
      <w:r w:rsidR="003F7539">
        <w:t>í část příspěvku UPa v roce 2019</w:t>
      </w:r>
      <w:r w:rsidRPr="00523216">
        <w:t xml:space="preserve"> vycházejí z kombinace přístupu MŠMT (50 %) a skutečného počtu st</w:t>
      </w:r>
      <w:r w:rsidR="003F7539">
        <w:t>udentů na fakultě k 31. 10. 2018</w:t>
      </w:r>
      <w:r w:rsidRPr="00523216">
        <w:t xml:space="preserve"> (50 %). Příjmy za výkonovou část odrážejí podíl UPa na jednotlivých indikátorech, </w:t>
      </w:r>
      <w:r>
        <w:t xml:space="preserve">které se aplikují na všechny veřejné vysoké školy, </w:t>
      </w:r>
      <w:r w:rsidR="004922C1">
        <w:t>jedná se o dále uvedené.</w:t>
      </w:r>
    </w:p>
    <w:p w:rsidR="00523216" w:rsidRDefault="00523216" w:rsidP="00523216">
      <w:pPr>
        <w:spacing w:after="0"/>
      </w:pPr>
      <w:r>
        <w:t>o</w:t>
      </w:r>
      <w:r>
        <w:tab/>
        <w:t>Výsledky výzkumu, vývoje a inovací (body RIV) – váha 30 %</w:t>
      </w:r>
    </w:p>
    <w:p w:rsidR="00523216" w:rsidRDefault="00523216" w:rsidP="00523216">
      <w:pPr>
        <w:spacing w:after="0"/>
      </w:pPr>
      <w:r>
        <w:t>o</w:t>
      </w:r>
      <w:r>
        <w:tab/>
        <w:t>Výsledky umělecké činnosti (body RUV) – váha 3 %</w:t>
      </w:r>
    </w:p>
    <w:p w:rsidR="00523216" w:rsidRDefault="00523216" w:rsidP="00523216">
      <w:pPr>
        <w:spacing w:after="0"/>
      </w:pPr>
      <w:r>
        <w:t>o</w:t>
      </w:r>
      <w:r>
        <w:tab/>
        <w:t xml:space="preserve">Externí příjmy VŠ spojené se vzdělávací a tvůrčí činností – váha </w:t>
      </w:r>
      <w:r w:rsidR="003F7539">
        <w:t>6,5</w:t>
      </w:r>
      <w:r>
        <w:t xml:space="preserve"> %</w:t>
      </w:r>
    </w:p>
    <w:p w:rsidR="00523216" w:rsidRDefault="00523216" w:rsidP="00523216">
      <w:pPr>
        <w:spacing w:after="0"/>
      </w:pPr>
      <w:r>
        <w:t>o</w:t>
      </w:r>
      <w:r>
        <w:tab/>
        <w:t>Graduation rate  – váha 15 %</w:t>
      </w:r>
    </w:p>
    <w:p w:rsidR="00523216" w:rsidRDefault="00523216" w:rsidP="00523216">
      <w:pPr>
        <w:spacing w:after="0"/>
      </w:pPr>
      <w:r>
        <w:t>o</w:t>
      </w:r>
      <w:r>
        <w:tab/>
        <w:t>Zaměstnanost absolventů – váha 10 %</w:t>
      </w:r>
    </w:p>
    <w:p w:rsidR="00523216" w:rsidRDefault="00523216" w:rsidP="00523216">
      <w:pPr>
        <w:spacing w:after="0"/>
      </w:pPr>
      <w:r>
        <w:t>o</w:t>
      </w:r>
      <w:r>
        <w:tab/>
        <w:t>Podíl cizinců (akademičtí pracovníci) – váha 10 %</w:t>
      </w:r>
    </w:p>
    <w:p w:rsidR="003F7539" w:rsidRDefault="00523216" w:rsidP="00523216">
      <w:pPr>
        <w:spacing w:after="0"/>
      </w:pPr>
      <w:r>
        <w:t>o</w:t>
      </w:r>
      <w:r>
        <w:tab/>
        <w:t>Mezinárodní mobility – váha 22 %</w:t>
      </w:r>
    </w:p>
    <w:p w:rsidR="003F7539" w:rsidRDefault="003F7539" w:rsidP="003F7539">
      <w:pPr>
        <w:pStyle w:val="Odstavecseseznamem"/>
        <w:numPr>
          <w:ilvl w:val="0"/>
          <w:numId w:val="37"/>
        </w:numPr>
        <w:spacing w:after="0"/>
        <w:ind w:hanging="720"/>
      </w:pPr>
      <w:r>
        <w:t>Studenti samoplátci- váha 3,5 %</w:t>
      </w:r>
    </w:p>
    <w:p w:rsidR="00A7556E" w:rsidRDefault="00C71FC7" w:rsidP="003F7539">
      <w:pPr>
        <w:pStyle w:val="Nadpis1"/>
      </w:pPr>
      <w:bookmarkStart w:id="4" w:name="_Toc443482107"/>
      <w:r>
        <w:lastRenderedPageBreak/>
        <w:t>Neinvestiční náklady</w:t>
      </w:r>
      <w:bookmarkEnd w:id="4"/>
    </w:p>
    <w:p w:rsidR="00A7556E" w:rsidRDefault="00A7556E" w:rsidP="00A7556E">
      <w:r>
        <w:br w:type="page"/>
      </w:r>
    </w:p>
    <w:p w:rsidR="00A7556E" w:rsidRDefault="00C71FC7" w:rsidP="00DE316F">
      <w:pPr>
        <w:pStyle w:val="Nadpis2"/>
      </w:pPr>
      <w:bookmarkStart w:id="5" w:name="_Toc443482108"/>
      <w:r>
        <w:lastRenderedPageBreak/>
        <w:t>Skutečné náklady v porovnání s rozpočtem</w:t>
      </w:r>
      <w:bookmarkEnd w:id="5"/>
    </w:p>
    <w:p w:rsidR="00C71FC7" w:rsidRDefault="00C71FC7" w:rsidP="00C71FC7"/>
    <w:p w:rsidR="00C71FC7" w:rsidRDefault="00C71FC7" w:rsidP="00C71FC7">
      <w:r>
        <w:t>Neinvestiční náklady FZS v roce 201</w:t>
      </w:r>
      <w:r w:rsidR="00C930F4">
        <w:t>8</w:t>
      </w:r>
      <w:r>
        <w:t xml:space="preserve"> činily </w:t>
      </w:r>
      <w:r w:rsidR="003F7539">
        <w:t>69 236</w:t>
      </w:r>
      <w:r>
        <w:t xml:space="preserve"> tis. Kč. Následující tabulka srovnává p</w:t>
      </w:r>
      <w:r w:rsidR="00B254F8">
        <w:t>lánované náklady se skutečností v rozdělení dle činností zajišťovaných fakultou, tedy hlavní vzdělávací činnost, účelová činnost a doplňková činnost. V tabulce jsou samostatně vyčísleny platby na celouniverzitní náklady, odpisy a převod do fondů.</w:t>
      </w:r>
    </w:p>
    <w:p w:rsidR="00327A54" w:rsidRPr="00D12E95" w:rsidRDefault="00327A54" w:rsidP="00B254F8">
      <w:pPr>
        <w:pStyle w:val="Titulek"/>
        <w:spacing w:after="120"/>
        <w:rPr>
          <w:color w:val="auto"/>
          <w:sz w:val="20"/>
          <w:szCs w:val="20"/>
        </w:rPr>
      </w:pPr>
      <w:r w:rsidRPr="00D12E95">
        <w:rPr>
          <w:color w:val="auto"/>
          <w:sz w:val="20"/>
          <w:szCs w:val="20"/>
        </w:rPr>
        <w:t xml:space="preserve">Tabulka </w:t>
      </w:r>
      <w:r w:rsidR="00113232" w:rsidRPr="00D12E95">
        <w:rPr>
          <w:color w:val="auto"/>
          <w:sz w:val="20"/>
          <w:szCs w:val="20"/>
        </w:rPr>
        <w:fldChar w:fldCharType="begin"/>
      </w:r>
      <w:r w:rsidR="00113232" w:rsidRPr="00D12E95">
        <w:rPr>
          <w:color w:val="auto"/>
          <w:sz w:val="20"/>
          <w:szCs w:val="20"/>
        </w:rPr>
        <w:instrText xml:space="preserve"> SEQ Tabulka \* ARABIC </w:instrText>
      </w:r>
      <w:r w:rsidR="00113232" w:rsidRPr="00D12E95">
        <w:rPr>
          <w:color w:val="auto"/>
          <w:sz w:val="20"/>
          <w:szCs w:val="20"/>
        </w:rPr>
        <w:fldChar w:fldCharType="separate"/>
      </w:r>
      <w:r w:rsidR="00434C82">
        <w:rPr>
          <w:noProof/>
          <w:color w:val="auto"/>
          <w:sz w:val="20"/>
          <w:szCs w:val="20"/>
        </w:rPr>
        <w:t>2</w:t>
      </w:r>
      <w:r w:rsidR="00113232" w:rsidRPr="00D12E95">
        <w:rPr>
          <w:noProof/>
          <w:color w:val="auto"/>
          <w:sz w:val="20"/>
          <w:szCs w:val="20"/>
        </w:rPr>
        <w:fldChar w:fldCharType="end"/>
      </w:r>
      <w:r w:rsidRPr="00D12E95">
        <w:rPr>
          <w:color w:val="auto"/>
          <w:sz w:val="20"/>
          <w:szCs w:val="20"/>
        </w:rPr>
        <w:t xml:space="preserve"> Neinvestiční náklady (v tis. Kč)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1200"/>
        <w:gridCol w:w="1200"/>
        <w:gridCol w:w="1200"/>
      </w:tblGrid>
      <w:tr w:rsidR="008347B2" w:rsidRPr="008347B2" w:rsidTr="008347B2">
        <w:trPr>
          <w:trHeight w:val="315"/>
        </w:trPr>
        <w:tc>
          <w:tcPr>
            <w:tcW w:w="56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Neinvestiční náklady (v tis. Kč)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Rozpočet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Rozdíl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Skutečnost</w:t>
            </w:r>
          </w:p>
        </w:tc>
      </w:tr>
      <w:tr w:rsidR="008347B2" w:rsidRPr="008347B2" w:rsidTr="008347B2">
        <w:trPr>
          <w:trHeight w:val="481"/>
        </w:trPr>
        <w:tc>
          <w:tcPr>
            <w:tcW w:w="56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</w:tr>
      <w:tr w:rsidR="008347B2" w:rsidRPr="008347B2" w:rsidTr="008347B2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Hlavní činnost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36 794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927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37 721</w:t>
            </w:r>
          </w:p>
        </w:tc>
      </w:tr>
      <w:tr w:rsidR="008347B2" w:rsidRPr="008347B2" w:rsidTr="008347B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Účelové akce a projekty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7 476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-683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6 793</w:t>
            </w:r>
          </w:p>
        </w:tc>
      </w:tr>
      <w:tr w:rsidR="008347B2" w:rsidRPr="008347B2" w:rsidTr="008347B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Odpisy majetku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571</w:t>
            </w:r>
          </w:p>
        </w:tc>
      </w:tr>
      <w:tr w:rsidR="008347B2" w:rsidRPr="008347B2" w:rsidTr="008347B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Celouniverzitní náklady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14 116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14 116</w:t>
            </w:r>
          </w:p>
        </w:tc>
      </w:tr>
      <w:tr w:rsidR="008347B2" w:rsidRPr="008347B2" w:rsidTr="008347B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Rezerva rozpočtu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1 500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-1 500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</w:tr>
      <w:tr w:rsidR="008347B2" w:rsidRPr="008347B2" w:rsidTr="008347B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Doplňková činnost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287</w:t>
            </w:r>
          </w:p>
        </w:tc>
      </w:tr>
      <w:tr w:rsidR="008347B2" w:rsidRPr="008347B2" w:rsidTr="008347B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Převod do fondů (FPP, FÚUP)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3 602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6 146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9 748</w:t>
            </w:r>
          </w:p>
        </w:tc>
      </w:tr>
      <w:tr w:rsidR="008347B2" w:rsidRPr="008347B2" w:rsidTr="008347B2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 xml:space="preserve">Jiné a mimořádné náklady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</w:tr>
      <w:tr w:rsidR="008347B2" w:rsidRPr="008347B2" w:rsidTr="008347B2">
        <w:trPr>
          <w:trHeight w:val="330"/>
        </w:trPr>
        <w:tc>
          <w:tcPr>
            <w:tcW w:w="56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Celkem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63 944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5 292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69 236</w:t>
            </w:r>
          </w:p>
        </w:tc>
      </w:tr>
    </w:tbl>
    <w:p w:rsidR="00327A54" w:rsidRDefault="00327A54" w:rsidP="00B254F8">
      <w:pPr>
        <w:spacing w:after="120"/>
      </w:pPr>
    </w:p>
    <w:p w:rsidR="00C71FC7" w:rsidRDefault="00C71FC7" w:rsidP="002260C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Rozpočet fakulty se na počátku roku 201</w:t>
      </w:r>
      <w:r w:rsidR="008347B2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sestavoval jako vyrovnaný.</w:t>
      </w:r>
      <w:r w:rsidR="009E69C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souladu se zákonem č. 111/1998 Sb. o vysokých školách byl</w:t>
      </w:r>
      <w:r w:rsidR="00022ED3">
        <w:rPr>
          <w:rFonts w:cs="Arial"/>
          <w:szCs w:val="20"/>
        </w:rPr>
        <w:t xml:space="preserve">a nevyčerpaná </w:t>
      </w:r>
      <w:r w:rsidR="008347B2">
        <w:rPr>
          <w:rFonts w:cs="Arial"/>
          <w:szCs w:val="20"/>
        </w:rPr>
        <w:t>část dotace</w:t>
      </w:r>
      <w:r w:rsidR="00022E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ve výši </w:t>
      </w:r>
      <w:r w:rsidR="008347B2">
        <w:rPr>
          <w:rFonts w:cs="Arial"/>
          <w:szCs w:val="20"/>
        </w:rPr>
        <w:t>9 748 tis. Kč převedena</w:t>
      </w:r>
      <w:r>
        <w:rPr>
          <w:rFonts w:cs="Arial"/>
          <w:szCs w:val="20"/>
        </w:rPr>
        <w:t xml:space="preserve"> </w:t>
      </w:r>
      <w:r w:rsidR="008347B2">
        <w:rPr>
          <w:rFonts w:cs="Arial"/>
          <w:szCs w:val="20"/>
        </w:rPr>
        <w:t>do fondu</w:t>
      </w:r>
      <w:r>
        <w:rPr>
          <w:rFonts w:cs="Arial"/>
          <w:szCs w:val="20"/>
        </w:rPr>
        <w:t xml:space="preserve"> </w:t>
      </w:r>
      <w:r w:rsidR="00BF0CDF">
        <w:rPr>
          <w:rFonts w:cs="Arial"/>
          <w:szCs w:val="20"/>
        </w:rPr>
        <w:t>(Fond provozních prostředků FPP</w:t>
      </w:r>
      <w:r w:rsidR="008347B2">
        <w:rPr>
          <w:rFonts w:cs="Arial"/>
          <w:szCs w:val="20"/>
        </w:rPr>
        <w:t>).</w:t>
      </w:r>
    </w:p>
    <w:p w:rsidR="00007EFE" w:rsidRDefault="00007EFE" w:rsidP="00C214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9C2029" w:rsidRDefault="007A2461" w:rsidP="00C214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Čerpání rozpočtu fakulty je sledováno podle jednotlivých středisek. Střediska tvoří</w:t>
      </w:r>
      <w:r w:rsidR="009C2029">
        <w:rPr>
          <w:rFonts w:cs="Arial"/>
          <w:szCs w:val="20"/>
        </w:rPr>
        <w:t xml:space="preserve"> katedry a další útvary fakulty - </w:t>
      </w:r>
      <w:r>
        <w:rPr>
          <w:rFonts w:cs="Arial"/>
          <w:szCs w:val="20"/>
        </w:rPr>
        <w:t xml:space="preserve">studijní oddělení, referát tajemníka, Centrum péče o zdraví, referáty proděkanů, sekretariát děkana a </w:t>
      </w:r>
      <w:r w:rsidR="009C2029">
        <w:rPr>
          <w:rFonts w:cs="Arial"/>
          <w:szCs w:val="20"/>
        </w:rPr>
        <w:t>středisko celofakultních nákladů (</w:t>
      </w:r>
      <w:r>
        <w:rPr>
          <w:rFonts w:cs="Arial"/>
          <w:szCs w:val="20"/>
        </w:rPr>
        <w:t>jedná se o náklady, které jsou důležité k provozu celé fakulty, např. energie, celouniverzitní náklady</w:t>
      </w:r>
      <w:r w:rsidR="009C2029">
        <w:rPr>
          <w:rFonts w:cs="Arial"/>
          <w:szCs w:val="20"/>
        </w:rPr>
        <w:t>, opravy a udržování prostor fakulty)</w:t>
      </w:r>
      <w:r>
        <w:rPr>
          <w:rFonts w:cs="Arial"/>
          <w:szCs w:val="20"/>
        </w:rPr>
        <w:t>.</w:t>
      </w:r>
      <w:r w:rsidR="009C2029">
        <w:rPr>
          <w:rFonts w:cs="Arial"/>
          <w:szCs w:val="20"/>
        </w:rPr>
        <w:t xml:space="preserve"> V roce 2019 tvořila položka celofakultních nákladů 27 923 tis. Kč, což je více než 40 % celkových nákladů fakulty.</w:t>
      </w:r>
      <w:r>
        <w:rPr>
          <w:rFonts w:cs="Arial"/>
          <w:szCs w:val="20"/>
        </w:rPr>
        <w:t xml:space="preserve"> </w:t>
      </w:r>
    </w:p>
    <w:p w:rsidR="00007EFE" w:rsidRPr="00EF4640" w:rsidRDefault="00007EFE" w:rsidP="00C214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EF4640">
        <w:rPr>
          <w:rFonts w:cs="Arial"/>
          <w:szCs w:val="20"/>
        </w:rPr>
        <w:t>Na fakultě</w:t>
      </w:r>
      <w:r w:rsidR="009E69CA" w:rsidRPr="00EF4640">
        <w:rPr>
          <w:rFonts w:cs="Arial"/>
          <w:szCs w:val="20"/>
        </w:rPr>
        <w:t xml:space="preserve"> </w:t>
      </w:r>
      <w:r w:rsidR="007A2461">
        <w:rPr>
          <w:rFonts w:cs="Arial"/>
          <w:szCs w:val="20"/>
        </w:rPr>
        <w:t xml:space="preserve">sledujeme </w:t>
      </w:r>
      <w:r w:rsidRPr="00EF4640">
        <w:rPr>
          <w:rFonts w:cs="Arial"/>
          <w:szCs w:val="20"/>
        </w:rPr>
        <w:t>rozpočet pro jednotlivé k</w:t>
      </w:r>
      <w:r w:rsidR="009E69CA" w:rsidRPr="00EF4640">
        <w:rPr>
          <w:rFonts w:cs="Arial"/>
          <w:szCs w:val="20"/>
        </w:rPr>
        <w:t>atedry. Při stanovení rozpočtu vychází fakulta</w:t>
      </w:r>
      <w:r w:rsidRPr="00EF4640">
        <w:rPr>
          <w:rFonts w:cs="Arial"/>
          <w:szCs w:val="20"/>
        </w:rPr>
        <w:t xml:space="preserve"> z poměru velikosti dané katedry</w:t>
      </w:r>
      <w:r w:rsidR="00BF0CDF" w:rsidRPr="00EF4640">
        <w:rPr>
          <w:rFonts w:cs="Arial"/>
          <w:szCs w:val="20"/>
        </w:rPr>
        <w:t xml:space="preserve"> (počet studentů na katedře, přepočtený úvazek akademických pracovníků na katedře)</w:t>
      </w:r>
      <w:r w:rsidRPr="00EF4640">
        <w:rPr>
          <w:rFonts w:cs="Arial"/>
          <w:szCs w:val="20"/>
        </w:rPr>
        <w:t xml:space="preserve"> a ze skutečně čerpaných nákladů v předchozích letech s výhledem čerpání těchto prostředků v dalším roce. </w:t>
      </w:r>
    </w:p>
    <w:p w:rsidR="00007EFE" w:rsidRPr="00EF4640" w:rsidRDefault="00007EFE" w:rsidP="00C2141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022ED3" w:rsidRDefault="00007EFE" w:rsidP="004922C1">
      <w:pPr>
        <w:pStyle w:val="Titulek"/>
        <w:rPr>
          <w:sz w:val="22"/>
        </w:rPr>
      </w:pPr>
      <w:r w:rsidRPr="00EF4640">
        <w:rPr>
          <w:color w:val="auto"/>
          <w:sz w:val="20"/>
          <w:szCs w:val="20"/>
        </w:rPr>
        <w:t>T</w:t>
      </w:r>
      <w:r w:rsidR="00EF4640" w:rsidRPr="00EF4640">
        <w:rPr>
          <w:color w:val="auto"/>
          <w:sz w:val="20"/>
          <w:szCs w:val="20"/>
        </w:rPr>
        <w:t xml:space="preserve">abulka </w:t>
      </w:r>
      <w:r w:rsidR="00EF4640" w:rsidRPr="00EF4640">
        <w:rPr>
          <w:color w:val="auto"/>
          <w:sz w:val="20"/>
          <w:szCs w:val="20"/>
        </w:rPr>
        <w:fldChar w:fldCharType="begin"/>
      </w:r>
      <w:r w:rsidR="00EF4640" w:rsidRPr="00EF4640">
        <w:rPr>
          <w:color w:val="auto"/>
          <w:sz w:val="20"/>
          <w:szCs w:val="20"/>
        </w:rPr>
        <w:instrText xml:space="preserve"> SEQ Tabulka \* ARABIC </w:instrText>
      </w:r>
      <w:r w:rsidR="00EF4640" w:rsidRPr="00EF4640">
        <w:rPr>
          <w:color w:val="auto"/>
          <w:sz w:val="20"/>
          <w:szCs w:val="20"/>
        </w:rPr>
        <w:fldChar w:fldCharType="separate"/>
      </w:r>
      <w:r w:rsidR="00434C82">
        <w:rPr>
          <w:noProof/>
          <w:color w:val="auto"/>
          <w:sz w:val="20"/>
          <w:szCs w:val="20"/>
        </w:rPr>
        <w:t>3</w:t>
      </w:r>
      <w:r w:rsidR="00EF4640" w:rsidRPr="00EF4640">
        <w:rPr>
          <w:noProof/>
          <w:color w:val="auto"/>
          <w:sz w:val="20"/>
          <w:szCs w:val="20"/>
        </w:rPr>
        <w:fldChar w:fldCharType="end"/>
      </w:r>
      <w:r w:rsidR="00EF4640" w:rsidRPr="00EF4640">
        <w:rPr>
          <w:color w:val="auto"/>
          <w:sz w:val="20"/>
          <w:szCs w:val="20"/>
        </w:rPr>
        <w:t xml:space="preserve"> Rozpočty kateder (v tis. Kč)</w:t>
      </w:r>
      <w:r w:rsidR="00022ED3">
        <w:rPr>
          <w:szCs w:val="22"/>
        </w:rPr>
        <w:fldChar w:fldCharType="begin"/>
      </w:r>
      <w:r w:rsidR="00022ED3">
        <w:instrText xml:space="preserve"> LINK </w:instrText>
      </w:r>
      <w:r w:rsidR="009C2029">
        <w:instrText xml:space="preserve">Excel.Sheet.12 "D:\\Data\\hath3393\\Plocha\\Tajemník\\Výroční zpráva\\2018\\hospodaření\\výroční zpráva 2018 - podklady.xlsx" rozpočty_kateder_2018!R1C1:R7C4 </w:instrText>
      </w:r>
      <w:r w:rsidR="00022ED3">
        <w:instrText xml:space="preserve">\a \f 4 \h </w:instrText>
      </w:r>
      <w:r w:rsidR="00022ED3">
        <w:rPr>
          <w:szCs w:val="22"/>
        </w:rPr>
        <w:fldChar w:fldCharType="separate"/>
      </w:r>
    </w:p>
    <w:p w:rsidR="008347B2" w:rsidRPr="00EF4640" w:rsidRDefault="00022ED3" w:rsidP="00A7556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fldChar w:fldCharType="end"/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1200"/>
        <w:gridCol w:w="1200"/>
        <w:gridCol w:w="1200"/>
      </w:tblGrid>
      <w:tr w:rsidR="008347B2" w:rsidRPr="008347B2" w:rsidTr="008347B2">
        <w:trPr>
          <w:trHeight w:val="315"/>
        </w:trPr>
        <w:tc>
          <w:tcPr>
            <w:tcW w:w="56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Rozpočty jednotlivých kateder (v tis. Kč)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Rozpočet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Rozdíl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Skutečnost</w:t>
            </w:r>
          </w:p>
        </w:tc>
      </w:tr>
      <w:tr w:rsidR="008347B2" w:rsidRPr="008347B2" w:rsidTr="008347B2">
        <w:trPr>
          <w:trHeight w:val="481"/>
        </w:trPr>
        <w:tc>
          <w:tcPr>
            <w:tcW w:w="56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</w:tr>
      <w:tr w:rsidR="008347B2" w:rsidRPr="008347B2" w:rsidTr="008347B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Katedra ošetřovatelství (70140)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12 515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12 822</w:t>
            </w:r>
          </w:p>
        </w:tc>
      </w:tr>
      <w:tr w:rsidR="008347B2" w:rsidRPr="008347B2" w:rsidTr="008347B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Katedra porodní asistence a zdravotně sociální práce (70150)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5 180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5 197</w:t>
            </w:r>
          </w:p>
        </w:tc>
      </w:tr>
      <w:tr w:rsidR="008347B2" w:rsidRPr="008347B2" w:rsidTr="008347B2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Katedra klinických oborů (70160)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9 661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-372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sz w:val="22"/>
                <w:lang w:eastAsia="cs-CZ"/>
              </w:rPr>
              <w:t>9 289</w:t>
            </w:r>
          </w:p>
        </w:tc>
      </w:tr>
      <w:tr w:rsidR="008347B2" w:rsidRPr="008347B2" w:rsidTr="008347B2">
        <w:trPr>
          <w:trHeight w:val="330"/>
        </w:trPr>
        <w:tc>
          <w:tcPr>
            <w:tcW w:w="56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Celkem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27 356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-48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347B2" w:rsidRPr="008347B2" w:rsidRDefault="008347B2" w:rsidP="0083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8347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27 308</w:t>
            </w:r>
          </w:p>
        </w:tc>
      </w:tr>
    </w:tbl>
    <w:p w:rsidR="00C71FC7" w:rsidRPr="00EF4640" w:rsidRDefault="00C71FC7" w:rsidP="00A7556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</w:p>
    <w:p w:rsidR="00007EFE" w:rsidRPr="00EF4640" w:rsidRDefault="00007EFE" w:rsidP="00090D4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022ED3" w:rsidRDefault="00AF7FA9" w:rsidP="00090D4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EF4640">
        <w:rPr>
          <w:rFonts w:cs="Arial"/>
          <w:szCs w:val="20"/>
        </w:rPr>
        <w:t xml:space="preserve">Skutečné náklady jednotlivých </w:t>
      </w:r>
      <w:r w:rsidR="00007EFE" w:rsidRPr="00EF4640">
        <w:rPr>
          <w:rFonts w:cs="Arial"/>
          <w:szCs w:val="20"/>
        </w:rPr>
        <w:t>kateder</w:t>
      </w:r>
      <w:r w:rsidRPr="00EF4640">
        <w:rPr>
          <w:rFonts w:cs="Arial"/>
          <w:szCs w:val="20"/>
        </w:rPr>
        <w:t xml:space="preserve"> FZS oproti rozpočtovaným nákladům byly za rok 201</w:t>
      </w:r>
      <w:r w:rsidR="003F7539">
        <w:rPr>
          <w:rFonts w:cs="Arial"/>
          <w:szCs w:val="20"/>
        </w:rPr>
        <w:t>9</w:t>
      </w:r>
      <w:r w:rsidRPr="00EF4640">
        <w:rPr>
          <w:rFonts w:cs="Arial"/>
          <w:szCs w:val="20"/>
        </w:rPr>
        <w:t xml:space="preserve"> o </w:t>
      </w:r>
      <w:r w:rsidR="008347B2">
        <w:rPr>
          <w:rFonts w:cs="Arial"/>
          <w:szCs w:val="20"/>
        </w:rPr>
        <w:t>48</w:t>
      </w:r>
      <w:r w:rsidRPr="00EF4640">
        <w:rPr>
          <w:rFonts w:cs="Arial"/>
          <w:szCs w:val="20"/>
        </w:rPr>
        <w:t xml:space="preserve"> tis. Kč </w:t>
      </w:r>
      <w:r w:rsidR="008347B2">
        <w:rPr>
          <w:rFonts w:cs="Arial"/>
          <w:szCs w:val="20"/>
        </w:rPr>
        <w:t>nižší</w:t>
      </w:r>
      <w:r w:rsidRPr="00EF4640">
        <w:rPr>
          <w:rFonts w:cs="Arial"/>
          <w:szCs w:val="20"/>
        </w:rPr>
        <w:t xml:space="preserve">. </w:t>
      </w:r>
    </w:p>
    <w:p w:rsidR="008347B2" w:rsidRDefault="00022ED3" w:rsidP="00090D4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 průběhu roku 2018 došlo ke sloučení Katedry klinických oborů (KKO) a Katedry informatiky, managementu </w:t>
      </w:r>
      <w:r>
        <w:rPr>
          <w:rFonts w:cs="Arial"/>
          <w:szCs w:val="20"/>
        </w:rPr>
        <w:lastRenderedPageBreak/>
        <w:t>a</w:t>
      </w:r>
      <w:r w:rsidR="00B254F8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radiologie (KIR). </w:t>
      </w:r>
      <w:r w:rsidR="008347B2">
        <w:rPr>
          <w:rFonts w:cs="Arial"/>
          <w:szCs w:val="20"/>
        </w:rPr>
        <w:t>Plánovaný rozpočet pro Katedru klinických oborů tedy vycházel z odhadů dřívějšího čerpání obou kateder.</w:t>
      </w:r>
      <w:r w:rsidR="00EF4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Navýšení nákladů</w:t>
      </w:r>
      <w:r w:rsidR="00EF4640">
        <w:rPr>
          <w:rFonts w:cs="Arial"/>
          <w:szCs w:val="20"/>
        </w:rPr>
        <w:t xml:space="preserve"> Katedry ošetřovatelství</w:t>
      </w:r>
      <w:r>
        <w:rPr>
          <w:rFonts w:cs="Arial"/>
          <w:szCs w:val="20"/>
        </w:rPr>
        <w:t xml:space="preserve"> (KOS)</w:t>
      </w:r>
      <w:r w:rsidR="008347B2">
        <w:rPr>
          <w:rFonts w:cs="Arial"/>
          <w:szCs w:val="20"/>
        </w:rPr>
        <w:t xml:space="preserve"> a Katedry porodní asistence</w:t>
      </w:r>
      <w:r w:rsidR="00EF4640">
        <w:rPr>
          <w:rFonts w:cs="Arial"/>
          <w:szCs w:val="20"/>
        </w:rPr>
        <w:t xml:space="preserve"> oproti rozpočtu je </w:t>
      </w:r>
      <w:r w:rsidR="008347B2">
        <w:rPr>
          <w:rFonts w:cs="Arial"/>
          <w:szCs w:val="20"/>
        </w:rPr>
        <w:t>způsobeno vlivem realizace interních projektů, jejichž náklady (zejména z oblasti cestovného a spotřebního materiálu) jsou pokryty z katedrálních rozpočtů na vědu a výzkum.</w:t>
      </w:r>
      <w:r w:rsidR="00EF4640">
        <w:rPr>
          <w:rFonts w:cs="Arial"/>
          <w:szCs w:val="20"/>
        </w:rPr>
        <w:t xml:space="preserve"> </w:t>
      </w:r>
    </w:p>
    <w:p w:rsidR="00AF7FA9" w:rsidRPr="00EF4640" w:rsidRDefault="000F4567" w:rsidP="00090D4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EF4640">
        <w:rPr>
          <w:rFonts w:cs="Arial"/>
          <w:szCs w:val="20"/>
        </w:rPr>
        <w:t>Pro rok 201</w:t>
      </w:r>
      <w:r w:rsidR="008347B2">
        <w:rPr>
          <w:rFonts w:cs="Arial"/>
          <w:szCs w:val="20"/>
        </w:rPr>
        <w:t>9</w:t>
      </w:r>
      <w:r w:rsidRPr="00EF4640">
        <w:rPr>
          <w:rFonts w:cs="Arial"/>
          <w:szCs w:val="20"/>
        </w:rPr>
        <w:t xml:space="preserve"> </w:t>
      </w:r>
      <w:r w:rsidR="00EA1E28">
        <w:rPr>
          <w:rFonts w:cs="Arial"/>
          <w:szCs w:val="20"/>
        </w:rPr>
        <w:t xml:space="preserve">získala Katedra ošetřovatelství </w:t>
      </w:r>
      <w:r w:rsidR="008347B2">
        <w:rPr>
          <w:rFonts w:cs="Arial"/>
          <w:szCs w:val="20"/>
        </w:rPr>
        <w:t>dva</w:t>
      </w:r>
      <w:r w:rsidR="00EA1E28">
        <w:rPr>
          <w:rFonts w:cs="Arial"/>
          <w:szCs w:val="20"/>
        </w:rPr>
        <w:t xml:space="preserve"> projekty Studentské grantové soutěže v celkové hodnotě </w:t>
      </w:r>
      <w:r w:rsidR="008347B2">
        <w:rPr>
          <w:rFonts w:cs="Arial"/>
          <w:szCs w:val="20"/>
        </w:rPr>
        <w:t>345</w:t>
      </w:r>
      <w:r w:rsidR="00B254F8">
        <w:rPr>
          <w:rFonts w:cs="Arial"/>
          <w:szCs w:val="20"/>
        </w:rPr>
        <w:t> </w:t>
      </w:r>
      <w:r w:rsidR="00EA1E28">
        <w:rPr>
          <w:rFonts w:cs="Arial"/>
          <w:szCs w:val="20"/>
        </w:rPr>
        <w:t>tis.</w:t>
      </w:r>
      <w:r w:rsidR="00B254F8">
        <w:rPr>
          <w:rFonts w:cs="Arial"/>
          <w:szCs w:val="20"/>
        </w:rPr>
        <w:t> </w:t>
      </w:r>
      <w:r w:rsidR="00EA1E28">
        <w:rPr>
          <w:rFonts w:cs="Arial"/>
          <w:szCs w:val="20"/>
        </w:rPr>
        <w:t>Kč</w:t>
      </w:r>
      <w:r w:rsidR="008347B2">
        <w:rPr>
          <w:rFonts w:cs="Arial"/>
          <w:szCs w:val="20"/>
        </w:rPr>
        <w:t xml:space="preserve"> a Katedra klinických</w:t>
      </w:r>
      <w:r w:rsidR="004342D8">
        <w:rPr>
          <w:rFonts w:cs="Arial"/>
          <w:szCs w:val="20"/>
        </w:rPr>
        <w:t xml:space="preserve"> </w:t>
      </w:r>
      <w:r w:rsidR="008347B2">
        <w:rPr>
          <w:rFonts w:cs="Arial"/>
          <w:szCs w:val="20"/>
        </w:rPr>
        <w:t>oborů jeden pro</w:t>
      </w:r>
      <w:r w:rsidR="004342D8">
        <w:rPr>
          <w:rFonts w:cs="Arial"/>
          <w:szCs w:val="20"/>
        </w:rPr>
        <w:t>jekt Studentské grantové soutě</w:t>
      </w:r>
      <w:r w:rsidR="008347B2">
        <w:rPr>
          <w:rFonts w:cs="Arial"/>
          <w:szCs w:val="20"/>
        </w:rPr>
        <w:t>že v celkové hodnotě 158 tis. Kč</w:t>
      </w:r>
      <w:r w:rsidR="00EA1E28">
        <w:rPr>
          <w:rFonts w:cs="Arial"/>
          <w:szCs w:val="20"/>
        </w:rPr>
        <w:t xml:space="preserve">. </w:t>
      </w:r>
      <w:r w:rsidR="008347B2">
        <w:rPr>
          <w:rFonts w:cs="Arial"/>
          <w:szCs w:val="20"/>
        </w:rPr>
        <w:t>V průběhu roku 2019 pokračoval čerpání z evropských projektů, zejména v oblasti osobních nákladů a prostředků na spotřební zdravotnický materiál.</w:t>
      </w:r>
    </w:p>
    <w:p w:rsidR="008F0D3C" w:rsidRPr="00EF4640" w:rsidRDefault="008F0D3C" w:rsidP="00090D4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8F0D3C" w:rsidRDefault="008F0D3C" w:rsidP="008F0D3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8F0D3C" w:rsidRDefault="008F0D3C" w:rsidP="008F0D3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  <w:sectPr w:rsidR="008F0D3C" w:rsidSect="00D7109C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556E" w:rsidRPr="00A7556E" w:rsidRDefault="004367C7" w:rsidP="00DE316F">
      <w:pPr>
        <w:pStyle w:val="Nadpis2"/>
      </w:pPr>
      <w:bookmarkStart w:id="6" w:name="_Toc443482109"/>
      <w:r>
        <w:lastRenderedPageBreak/>
        <w:t>Druhové členění nákladů celkem</w:t>
      </w:r>
      <w:bookmarkEnd w:id="6"/>
    </w:p>
    <w:p w:rsidR="00A7556E" w:rsidRPr="00A7556E" w:rsidRDefault="00A7556E" w:rsidP="00A7556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0"/>
        </w:rPr>
      </w:pPr>
    </w:p>
    <w:p w:rsidR="00A7556E" w:rsidRDefault="00E85D96" w:rsidP="00751F5A">
      <w:r>
        <w:t>D</w:t>
      </w:r>
      <w:r w:rsidR="004367C7">
        <w:t>ruhový rozpis nákladů</w:t>
      </w:r>
      <w:r w:rsidR="006C2725">
        <w:t xml:space="preserve"> roku 201</w:t>
      </w:r>
      <w:r w:rsidR="004342D8">
        <w:t>9</w:t>
      </w:r>
      <w:r w:rsidR="004367C7">
        <w:t xml:space="preserve"> v členění dle jednotlivých činností fakulty na hlavní činnost (vzděláv</w:t>
      </w:r>
      <w:r w:rsidR="008F0D3C">
        <w:t>ání, rozvoj výzkumné organizace</w:t>
      </w:r>
      <w:r w:rsidR="00326656">
        <w:t>, konference</w:t>
      </w:r>
      <w:r w:rsidR="008F0D3C">
        <w:t>),</w:t>
      </w:r>
      <w:r w:rsidR="004367C7">
        <w:t xml:space="preserve"> účelovou činnost (projekty a granty)</w:t>
      </w:r>
      <w:r w:rsidR="008F0D3C">
        <w:t xml:space="preserve"> a doplňkovou činnost (kurzy pro veřejnost)</w:t>
      </w:r>
      <w:r>
        <w:t xml:space="preserve"> je uveden v následující tabulce</w:t>
      </w:r>
      <w:r w:rsidR="004367C7">
        <w:t xml:space="preserve">. </w:t>
      </w:r>
    </w:p>
    <w:p w:rsidR="002A597F" w:rsidRDefault="002A597F" w:rsidP="002A597F">
      <w:pPr>
        <w:pStyle w:val="Titulek"/>
        <w:rPr>
          <w:color w:val="auto"/>
          <w:sz w:val="20"/>
          <w:szCs w:val="20"/>
        </w:rPr>
      </w:pPr>
      <w:r w:rsidRPr="00D12E95">
        <w:rPr>
          <w:color w:val="auto"/>
          <w:sz w:val="20"/>
          <w:szCs w:val="20"/>
        </w:rPr>
        <w:t xml:space="preserve">Tabulka </w:t>
      </w:r>
      <w:r w:rsidR="00EA1E28">
        <w:rPr>
          <w:color w:val="auto"/>
          <w:sz w:val="20"/>
          <w:szCs w:val="20"/>
        </w:rPr>
        <w:t>4</w:t>
      </w:r>
      <w:r w:rsidRPr="00D12E95">
        <w:rPr>
          <w:color w:val="auto"/>
          <w:sz w:val="20"/>
          <w:szCs w:val="20"/>
        </w:rPr>
        <w:t xml:space="preserve"> Druhové členění nákladů v</w:t>
      </w:r>
      <w:r w:rsidR="00F22247">
        <w:rPr>
          <w:color w:val="auto"/>
          <w:sz w:val="20"/>
          <w:szCs w:val="20"/>
        </w:rPr>
        <w:t xml:space="preserve"> tis. </w:t>
      </w:r>
      <w:r w:rsidRPr="00D12E95">
        <w:rPr>
          <w:color w:val="auto"/>
          <w:sz w:val="20"/>
          <w:szCs w:val="20"/>
        </w:rPr>
        <w:t>Kč</w:t>
      </w:r>
    </w:p>
    <w:tbl>
      <w:tblPr>
        <w:tblW w:w="9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1246"/>
        <w:gridCol w:w="1246"/>
        <w:gridCol w:w="1246"/>
        <w:gridCol w:w="1246"/>
      </w:tblGrid>
      <w:tr w:rsidR="004342D8" w:rsidRPr="004342D8" w:rsidTr="006961B6">
        <w:trPr>
          <w:trHeight w:val="244"/>
        </w:trPr>
        <w:tc>
          <w:tcPr>
            <w:tcW w:w="404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Neinvestiční náklady (v tis. Kč)</w:t>
            </w:r>
          </w:p>
        </w:tc>
        <w:tc>
          <w:tcPr>
            <w:tcW w:w="12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Hlavní činnost</w:t>
            </w:r>
          </w:p>
        </w:tc>
        <w:tc>
          <w:tcPr>
            <w:tcW w:w="12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Účelové akce a projekty</w:t>
            </w:r>
          </w:p>
        </w:tc>
        <w:tc>
          <w:tcPr>
            <w:tcW w:w="12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Doplňková činnost</w:t>
            </w:r>
          </w:p>
        </w:tc>
        <w:tc>
          <w:tcPr>
            <w:tcW w:w="12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Celkem</w:t>
            </w:r>
          </w:p>
        </w:tc>
      </w:tr>
      <w:tr w:rsidR="004342D8" w:rsidRPr="004342D8" w:rsidTr="006961B6">
        <w:trPr>
          <w:trHeight w:val="481"/>
        </w:trPr>
        <w:tc>
          <w:tcPr>
            <w:tcW w:w="40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</w:p>
        </w:tc>
        <w:tc>
          <w:tcPr>
            <w:tcW w:w="124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</w:p>
        </w:tc>
        <w:tc>
          <w:tcPr>
            <w:tcW w:w="124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</w:p>
        </w:tc>
        <w:tc>
          <w:tcPr>
            <w:tcW w:w="124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</w:p>
        </w:tc>
        <w:tc>
          <w:tcPr>
            <w:tcW w:w="124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Materiálové náklady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596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973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1 570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materiál všeobecný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284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325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610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literatura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78</w:t>
            </w:r>
          </w:p>
        </w:tc>
      </w:tr>
      <w:tr w:rsidR="004342D8" w:rsidRPr="004342D8" w:rsidTr="006961B6">
        <w:trPr>
          <w:trHeight w:val="436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drobný hmotný majetek a tech. zhodnocení do 40 000 Kč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249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633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882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Energie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1258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1 267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Opravy a udržování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340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340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Cestovné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696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798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 xml:space="preserve">tuzemské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157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175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zahraniční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538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620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ostatní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3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Náklady na reprezentaci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179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276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Služby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1 572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112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1 772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služby spojů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85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vložné, školení, semináře, exkurze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347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404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software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54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překlady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58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 xml:space="preserve">úvazek 0,1 </w:t>
            </w:r>
            <w:r w:rsidR="00144EE0">
              <w:rPr>
                <w:rFonts w:ascii="Calibri" w:eastAsia="Times New Roman" w:hAnsi="Calibri" w:cs="Calibri"/>
                <w:szCs w:val="20"/>
                <w:lang w:eastAsia="cs-CZ"/>
              </w:rPr>
              <w:t xml:space="preserve">(od září 2019 ve výši 0,05) </w:t>
            </w: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v PN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780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služby ostatní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268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391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Osobní náklady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33 834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2 531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36 399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hrubé mzdy včetně odměn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23 260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1 724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25 001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DPP, DPČ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2 233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214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2 458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zákonné zdravotní a sociální pojištění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7 872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587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8 465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zákonné sociální náklady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469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475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Jiné ostatní náklady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23 042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2 999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133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26 174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stipendia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1 876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1 876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poskytnuté příspěvky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426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426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kurzové ztráty, bankovní poplatky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6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ostatní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31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tvorba fondů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9 748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9 748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vnitropodnikové služby vč. režií projektů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-900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690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133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-77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celouniverzitní náklady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14 164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14 164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Daň z příjmu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69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Odpisy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571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571</w:t>
            </w:r>
          </w:p>
        </w:tc>
      </w:tr>
      <w:tr w:rsidR="004342D8" w:rsidRPr="004342D8" w:rsidTr="006961B6">
        <w:trPr>
          <w:trHeight w:val="264"/>
        </w:trPr>
        <w:tc>
          <w:tcPr>
            <w:tcW w:w="404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Celkem</w:t>
            </w:r>
          </w:p>
        </w:tc>
        <w:tc>
          <w:tcPr>
            <w:tcW w:w="124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62 157</w:t>
            </w:r>
          </w:p>
        </w:tc>
        <w:tc>
          <w:tcPr>
            <w:tcW w:w="124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6 792</w:t>
            </w:r>
          </w:p>
        </w:tc>
        <w:tc>
          <w:tcPr>
            <w:tcW w:w="124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287</w:t>
            </w:r>
          </w:p>
        </w:tc>
        <w:tc>
          <w:tcPr>
            <w:tcW w:w="124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42D8" w:rsidRPr="004342D8" w:rsidRDefault="004342D8" w:rsidP="00434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</w:pPr>
            <w:r w:rsidRPr="004342D8">
              <w:rPr>
                <w:rFonts w:ascii="Calibri" w:eastAsia="Times New Roman" w:hAnsi="Calibri" w:cs="Calibri"/>
                <w:b/>
                <w:bCs/>
                <w:szCs w:val="20"/>
                <w:lang w:eastAsia="cs-CZ"/>
              </w:rPr>
              <w:t>69 236</w:t>
            </w:r>
          </w:p>
        </w:tc>
      </w:tr>
    </w:tbl>
    <w:p w:rsidR="00EA1E28" w:rsidRDefault="00EA1E28" w:rsidP="00EA1E28">
      <w:pPr>
        <w:spacing w:after="120"/>
        <w:rPr>
          <w:sz w:val="22"/>
        </w:rPr>
      </w:pPr>
      <w:r>
        <w:fldChar w:fldCharType="begin"/>
      </w:r>
      <w:r>
        <w:instrText xml:space="preserve"> LINK </w:instrText>
      </w:r>
      <w:r w:rsidR="009C2029">
        <w:instrText xml:space="preserve">Excel.Sheet.12 "D:\\Data\\hath3393\\Plocha\\Tajemník\\Výroční zpráva\\2018\\hospodaření\\výroční zpráva 2018 - podklady.xlsx" "NIV_druhové členění2018!R1C1:R36C5" </w:instrText>
      </w:r>
      <w:r>
        <w:instrText xml:space="preserve">\a \f 4 \h  \* MERGEFORMAT </w:instrText>
      </w:r>
      <w:r>
        <w:fldChar w:fldCharType="separate"/>
      </w:r>
    </w:p>
    <w:p w:rsidR="007D3984" w:rsidRDefault="00EA1E28" w:rsidP="00EA1E28">
      <w:pPr>
        <w:spacing w:after="120"/>
      </w:pPr>
      <w:r>
        <w:fldChar w:fldCharType="end"/>
      </w:r>
      <w:r w:rsidR="00A8143A" w:rsidRPr="00A8143A">
        <w:t>Největší položku u všech činností fakulty tvoří mzdové náklady.</w:t>
      </w:r>
      <w:r w:rsidR="007D3984">
        <w:t xml:space="preserve"> V úhrnu se jedná o </w:t>
      </w:r>
      <w:r w:rsidR="006961B6">
        <w:t>52,6</w:t>
      </w:r>
      <w:r w:rsidR="007D3984">
        <w:t xml:space="preserve"> % celkových prostředků. Další významnou položku tvoří celouniverzitní náklady, tedy náklady rektorátu, společné výdaje univerzity </w:t>
      </w:r>
      <w:r w:rsidR="007D3984">
        <w:lastRenderedPageBreak/>
        <w:t>a</w:t>
      </w:r>
      <w:r w:rsidR="00B254F8">
        <w:t> </w:t>
      </w:r>
      <w:r w:rsidR="007D3984">
        <w:t>náklady celouniverzitních útvarů</w:t>
      </w:r>
      <w:r w:rsidR="00843EED">
        <w:t xml:space="preserve"> (</w:t>
      </w:r>
      <w:r w:rsidR="006961B6">
        <w:t>20,5</w:t>
      </w:r>
      <w:r w:rsidR="00843EED">
        <w:t xml:space="preserve"> %)</w:t>
      </w:r>
      <w:r w:rsidR="00404A90">
        <w:t>. Mezi stálé</w:t>
      </w:r>
      <w:r w:rsidR="007D3984">
        <w:t xml:space="preserve"> výdaje zároveň patří náklady na energie</w:t>
      </w:r>
      <w:r w:rsidR="00843EED">
        <w:t xml:space="preserve"> (</w:t>
      </w:r>
      <w:r>
        <w:t>1,</w:t>
      </w:r>
      <w:r w:rsidR="006961B6">
        <w:t>83</w:t>
      </w:r>
      <w:r w:rsidR="00843EED">
        <w:t xml:space="preserve"> %)</w:t>
      </w:r>
      <w:r w:rsidR="007D3984">
        <w:t xml:space="preserve">. Materiálové náklady byly použity na </w:t>
      </w:r>
      <w:r w:rsidR="00843EED">
        <w:t xml:space="preserve">nákup </w:t>
      </w:r>
      <w:r w:rsidR="007D3984">
        <w:t>spotřební</w:t>
      </w:r>
      <w:r w:rsidR="00843EED">
        <w:t>ho</w:t>
      </w:r>
      <w:r w:rsidR="007D3984">
        <w:t xml:space="preserve"> materiál</w:t>
      </w:r>
      <w:r w:rsidR="00843EED">
        <w:t>u</w:t>
      </w:r>
      <w:r w:rsidR="007D3984">
        <w:t xml:space="preserve"> a dovybavení fakulty potřebnými pomůckami a modely</w:t>
      </w:r>
      <w:r w:rsidR="00843EED">
        <w:t xml:space="preserve"> (</w:t>
      </w:r>
      <w:r w:rsidR="006961B6">
        <w:t>2,3</w:t>
      </w:r>
      <w:r w:rsidR="00843EED">
        <w:t xml:space="preserve"> %)</w:t>
      </w:r>
      <w:r w:rsidR="007D3984">
        <w:t>. V položce Služby se jednalo zejména o vložné na konference, platby za telefony, překlady a</w:t>
      </w:r>
      <w:r w:rsidR="00B254F8">
        <w:t> </w:t>
      </w:r>
      <w:r w:rsidR="007D3984">
        <w:t>propagaci fakulty</w:t>
      </w:r>
      <w:r w:rsidR="00843EED">
        <w:t xml:space="preserve"> (</w:t>
      </w:r>
      <w:r w:rsidR="00E85D96">
        <w:t>2,</w:t>
      </w:r>
      <w:r w:rsidR="006961B6">
        <w:t>6</w:t>
      </w:r>
      <w:r w:rsidR="00843EED">
        <w:t xml:space="preserve"> %)</w:t>
      </w:r>
      <w:r w:rsidR="007D3984">
        <w:t>.</w:t>
      </w:r>
    </w:p>
    <w:p w:rsidR="00F1271C" w:rsidRDefault="00F1271C" w:rsidP="00200581">
      <w:r>
        <w:t>Procentuální zastoupení jednotlivých položek neinvestičních nákladů náz</w:t>
      </w:r>
      <w:r w:rsidR="004922C1">
        <w:t>orně zobrazuje následující graf na obrázku 3.</w:t>
      </w:r>
    </w:p>
    <w:p w:rsidR="00836293" w:rsidRDefault="006961B6" w:rsidP="00F1271C">
      <w:pPr>
        <w:rPr>
          <w:noProof/>
          <w:color w:val="4F81BD" w:themeColor="accent1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62E7488C" wp14:editId="4425818C">
            <wp:extent cx="5760720" cy="2851150"/>
            <wp:effectExtent l="0" t="0" r="11430" b="63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54F8" w:rsidRPr="00D12E95" w:rsidRDefault="004922C1" w:rsidP="00B254F8">
      <w:pPr>
        <w:pStyle w:val="Titulek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Obrázek</w:t>
      </w:r>
      <w:r w:rsidR="00B254F8" w:rsidRPr="00D12E95">
        <w:rPr>
          <w:color w:val="auto"/>
          <w:sz w:val="20"/>
          <w:szCs w:val="20"/>
        </w:rPr>
        <w:t xml:space="preserve"> </w:t>
      </w:r>
      <w:r w:rsidR="00B254F8" w:rsidRPr="00D12E95">
        <w:rPr>
          <w:color w:val="auto"/>
          <w:sz w:val="20"/>
          <w:szCs w:val="20"/>
        </w:rPr>
        <w:fldChar w:fldCharType="begin"/>
      </w:r>
      <w:r w:rsidR="00B254F8" w:rsidRPr="00D12E95">
        <w:rPr>
          <w:color w:val="auto"/>
          <w:sz w:val="20"/>
          <w:szCs w:val="20"/>
        </w:rPr>
        <w:instrText xml:space="preserve"> SEQ Obrázek \* ARABIC </w:instrText>
      </w:r>
      <w:r w:rsidR="00B254F8" w:rsidRPr="00D12E95">
        <w:rPr>
          <w:color w:val="auto"/>
          <w:sz w:val="20"/>
          <w:szCs w:val="20"/>
        </w:rPr>
        <w:fldChar w:fldCharType="separate"/>
      </w:r>
      <w:r w:rsidR="00434C82">
        <w:rPr>
          <w:noProof/>
          <w:color w:val="auto"/>
          <w:sz w:val="20"/>
          <w:szCs w:val="20"/>
        </w:rPr>
        <w:t>3</w:t>
      </w:r>
      <w:r w:rsidR="00B254F8" w:rsidRPr="00D12E95">
        <w:rPr>
          <w:noProof/>
          <w:color w:val="auto"/>
          <w:sz w:val="20"/>
          <w:szCs w:val="20"/>
        </w:rPr>
        <w:fldChar w:fldCharType="end"/>
      </w:r>
      <w:r w:rsidR="00B254F8" w:rsidRPr="00D12E95">
        <w:rPr>
          <w:color w:val="auto"/>
          <w:sz w:val="20"/>
          <w:szCs w:val="20"/>
        </w:rPr>
        <w:t xml:space="preserve"> Zastoupení jednotlivých položek neinvestičních nákladů v %</w:t>
      </w:r>
    </w:p>
    <w:p w:rsidR="00836293" w:rsidRDefault="00836293" w:rsidP="00F1271C">
      <w:pPr>
        <w:rPr>
          <w:noProof/>
          <w:color w:val="4F81BD" w:themeColor="accent1"/>
          <w:sz w:val="18"/>
          <w:szCs w:val="18"/>
        </w:rPr>
      </w:pPr>
    </w:p>
    <w:p w:rsidR="00836293" w:rsidRDefault="00836293" w:rsidP="00F1271C">
      <w:pPr>
        <w:rPr>
          <w:noProof/>
          <w:color w:val="4F81BD" w:themeColor="accent1"/>
          <w:sz w:val="18"/>
          <w:szCs w:val="18"/>
        </w:rPr>
      </w:pPr>
    </w:p>
    <w:p w:rsidR="00836293" w:rsidRDefault="00836293" w:rsidP="00F1271C">
      <w:pPr>
        <w:rPr>
          <w:noProof/>
          <w:color w:val="4F81BD" w:themeColor="accent1"/>
          <w:sz w:val="18"/>
          <w:szCs w:val="18"/>
        </w:rPr>
      </w:pPr>
    </w:p>
    <w:p w:rsidR="00836293" w:rsidRDefault="00836293" w:rsidP="00F1271C">
      <w:pPr>
        <w:rPr>
          <w:noProof/>
          <w:color w:val="4F81BD" w:themeColor="accent1"/>
          <w:sz w:val="18"/>
          <w:szCs w:val="18"/>
        </w:rPr>
      </w:pPr>
    </w:p>
    <w:p w:rsidR="00836293" w:rsidRDefault="00836293" w:rsidP="00F1271C">
      <w:pPr>
        <w:rPr>
          <w:noProof/>
          <w:color w:val="4F81BD" w:themeColor="accent1"/>
          <w:sz w:val="18"/>
          <w:szCs w:val="18"/>
        </w:rPr>
      </w:pPr>
    </w:p>
    <w:p w:rsidR="00836293" w:rsidRDefault="00836293" w:rsidP="00F1271C">
      <w:pPr>
        <w:rPr>
          <w:noProof/>
          <w:color w:val="4F81BD" w:themeColor="accent1"/>
          <w:sz w:val="18"/>
          <w:szCs w:val="18"/>
        </w:rPr>
      </w:pPr>
    </w:p>
    <w:p w:rsidR="00836293" w:rsidRDefault="00836293" w:rsidP="00F1271C">
      <w:pPr>
        <w:rPr>
          <w:noProof/>
          <w:color w:val="4F81BD" w:themeColor="accent1"/>
          <w:sz w:val="18"/>
          <w:szCs w:val="18"/>
        </w:rPr>
      </w:pPr>
    </w:p>
    <w:p w:rsidR="00836293" w:rsidRDefault="00836293" w:rsidP="00F1271C">
      <w:pPr>
        <w:rPr>
          <w:noProof/>
          <w:color w:val="4F81BD" w:themeColor="accent1"/>
          <w:sz w:val="18"/>
          <w:szCs w:val="18"/>
        </w:rPr>
      </w:pPr>
    </w:p>
    <w:p w:rsidR="00836293" w:rsidRDefault="00836293" w:rsidP="00F1271C">
      <w:pPr>
        <w:rPr>
          <w:noProof/>
          <w:color w:val="4F81BD" w:themeColor="accent1"/>
          <w:sz w:val="18"/>
          <w:szCs w:val="18"/>
        </w:rPr>
      </w:pPr>
    </w:p>
    <w:p w:rsidR="00B254F8" w:rsidRDefault="00B254F8">
      <w:pPr>
        <w:jc w:val="left"/>
        <w:rPr>
          <w:noProof/>
          <w:color w:val="4F81BD" w:themeColor="accent1"/>
          <w:sz w:val="18"/>
          <w:szCs w:val="18"/>
        </w:rPr>
      </w:pPr>
      <w:r>
        <w:rPr>
          <w:noProof/>
          <w:color w:val="4F81BD" w:themeColor="accent1"/>
          <w:sz w:val="18"/>
          <w:szCs w:val="18"/>
        </w:rPr>
        <w:br w:type="page"/>
      </w:r>
    </w:p>
    <w:p w:rsidR="00A7556E" w:rsidRPr="00A7556E" w:rsidRDefault="00F1271C" w:rsidP="00DE316F">
      <w:pPr>
        <w:pStyle w:val="Nadpis2"/>
      </w:pPr>
      <w:bookmarkStart w:id="7" w:name="_Toc443482110"/>
      <w:r>
        <w:lastRenderedPageBreak/>
        <w:t>Druhové členění nákladů na vědu a výzkum</w:t>
      </w:r>
      <w:bookmarkEnd w:id="7"/>
    </w:p>
    <w:p w:rsidR="00E40296" w:rsidRDefault="00E85D96" w:rsidP="00A7556E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</w:t>
      </w:r>
      <w:r w:rsidR="00F1271C">
        <w:rPr>
          <w:rFonts w:cs="Arial"/>
          <w:bCs/>
          <w:szCs w:val="20"/>
        </w:rPr>
        <w:t>ruhový rozpis nákladů na vědu a výzkum</w:t>
      </w:r>
      <w:r>
        <w:rPr>
          <w:rFonts w:cs="Arial"/>
          <w:bCs/>
          <w:szCs w:val="20"/>
        </w:rPr>
        <w:t xml:space="preserve"> podrobně uvádí následující tabulka</w:t>
      </w:r>
      <w:r w:rsidR="00F1271C">
        <w:rPr>
          <w:rFonts w:cs="Arial"/>
          <w:bCs/>
          <w:szCs w:val="20"/>
        </w:rPr>
        <w:t xml:space="preserve">. </w:t>
      </w:r>
      <w:r w:rsidR="003457F0">
        <w:rPr>
          <w:rFonts w:cs="Arial"/>
          <w:bCs/>
          <w:szCs w:val="20"/>
        </w:rPr>
        <w:t>Jedná se o dotaci na Rozv</w:t>
      </w:r>
      <w:r>
        <w:rPr>
          <w:rFonts w:cs="Arial"/>
          <w:bCs/>
          <w:szCs w:val="20"/>
        </w:rPr>
        <w:t>oj výzkumné organizace přidělenou</w:t>
      </w:r>
      <w:r w:rsidR="003457F0">
        <w:rPr>
          <w:rFonts w:cs="Arial"/>
          <w:bCs/>
          <w:szCs w:val="20"/>
        </w:rPr>
        <w:t xml:space="preserve"> na základě zhodnocení dosažených výsledků ve výzkumu a vývoji</w:t>
      </w:r>
      <w:r w:rsidR="0069094F">
        <w:rPr>
          <w:rFonts w:cs="Arial"/>
          <w:bCs/>
          <w:szCs w:val="20"/>
        </w:rPr>
        <w:t xml:space="preserve"> za období 2011</w:t>
      </w:r>
      <w:r w:rsidR="00836293">
        <w:rPr>
          <w:rFonts w:cs="Arial"/>
          <w:bCs/>
          <w:szCs w:val="20"/>
        </w:rPr>
        <w:t xml:space="preserve"> - 201</w:t>
      </w:r>
      <w:r w:rsidR="0069094F">
        <w:rPr>
          <w:rFonts w:cs="Arial"/>
          <w:bCs/>
          <w:szCs w:val="20"/>
        </w:rPr>
        <w:t>5</w:t>
      </w:r>
      <w:r w:rsidR="003457F0">
        <w:rPr>
          <w:rFonts w:cs="Arial"/>
          <w:bCs/>
          <w:szCs w:val="20"/>
        </w:rPr>
        <w:t xml:space="preserve">. Zároveň se jedná o vědecko-výzkumné projekty. </w:t>
      </w:r>
      <w:r w:rsidR="00F1271C">
        <w:rPr>
          <w:rFonts w:cs="Arial"/>
          <w:bCs/>
          <w:szCs w:val="20"/>
        </w:rPr>
        <w:t>V roce 201</w:t>
      </w:r>
      <w:r w:rsidR="006961B6">
        <w:rPr>
          <w:rFonts w:cs="Arial"/>
          <w:bCs/>
          <w:szCs w:val="20"/>
        </w:rPr>
        <w:t>9</w:t>
      </w:r>
      <w:r w:rsidR="00F1271C">
        <w:rPr>
          <w:rFonts w:cs="Arial"/>
          <w:bCs/>
          <w:szCs w:val="20"/>
        </w:rPr>
        <w:t xml:space="preserve"> byl</w:t>
      </w:r>
      <w:r w:rsidR="0040425F">
        <w:rPr>
          <w:rFonts w:cs="Arial"/>
          <w:bCs/>
          <w:szCs w:val="20"/>
        </w:rPr>
        <w:t>y</w:t>
      </w:r>
      <w:r w:rsidR="00F1271C">
        <w:rPr>
          <w:rFonts w:cs="Arial"/>
          <w:bCs/>
          <w:szCs w:val="20"/>
        </w:rPr>
        <w:t xml:space="preserve"> na FZS rea</w:t>
      </w:r>
      <w:r w:rsidR="0040425F">
        <w:rPr>
          <w:rFonts w:cs="Arial"/>
          <w:bCs/>
          <w:szCs w:val="20"/>
        </w:rPr>
        <w:t xml:space="preserve">lizovány </w:t>
      </w:r>
      <w:r w:rsidR="00836293">
        <w:rPr>
          <w:rFonts w:cs="Arial"/>
          <w:bCs/>
          <w:szCs w:val="20"/>
        </w:rPr>
        <w:t>tři</w:t>
      </w:r>
      <w:r w:rsidR="0040425F">
        <w:rPr>
          <w:rFonts w:cs="Arial"/>
          <w:bCs/>
          <w:szCs w:val="20"/>
        </w:rPr>
        <w:t xml:space="preserve"> projekty v rám</w:t>
      </w:r>
      <w:r w:rsidR="00A96D70">
        <w:rPr>
          <w:rFonts w:cs="Arial"/>
          <w:bCs/>
          <w:szCs w:val="20"/>
        </w:rPr>
        <w:t>ci Studentské grantové soutěže,</w:t>
      </w:r>
      <w:r w:rsidR="004B73D1">
        <w:rPr>
          <w:rFonts w:cs="Arial"/>
          <w:bCs/>
          <w:szCs w:val="20"/>
        </w:rPr>
        <w:t xml:space="preserve"> </w:t>
      </w:r>
      <w:r w:rsidR="00A96D70">
        <w:rPr>
          <w:rFonts w:cs="Arial"/>
          <w:bCs/>
          <w:szCs w:val="20"/>
        </w:rPr>
        <w:t xml:space="preserve">a </w:t>
      </w:r>
      <w:r w:rsidR="0069094F">
        <w:rPr>
          <w:rFonts w:cs="Arial"/>
          <w:bCs/>
          <w:szCs w:val="20"/>
        </w:rPr>
        <w:t>jeden projekt TAČR Éta, jehož realizace byla zahájena 1. 4. 2018.</w:t>
      </w:r>
    </w:p>
    <w:p w:rsidR="00E85D96" w:rsidRDefault="006E728F" w:rsidP="00A7556E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</w:t>
      </w:r>
      <w:r w:rsidR="00836293">
        <w:rPr>
          <w:rFonts w:cs="Arial"/>
          <w:bCs/>
          <w:szCs w:val="20"/>
        </w:rPr>
        <w:t xml:space="preserve">řidělené prostředky na </w:t>
      </w:r>
      <w:r w:rsidR="006961B6">
        <w:rPr>
          <w:rFonts w:cs="Arial"/>
          <w:bCs/>
          <w:szCs w:val="20"/>
        </w:rPr>
        <w:t>Rozvoj výzkumné organizace,</w:t>
      </w:r>
      <w:r w:rsidR="0069094F">
        <w:rPr>
          <w:rFonts w:cs="Arial"/>
          <w:bCs/>
          <w:szCs w:val="20"/>
        </w:rPr>
        <w:t xml:space="preserve"> projekty Studentské grantové soutěže</w:t>
      </w:r>
      <w:r w:rsidR="00185930">
        <w:rPr>
          <w:rFonts w:cs="Arial"/>
          <w:bCs/>
          <w:szCs w:val="20"/>
        </w:rPr>
        <w:t xml:space="preserve"> a projekt TAČR</w:t>
      </w:r>
      <w:r w:rsidR="006961B6">
        <w:rPr>
          <w:rFonts w:cs="Arial"/>
          <w:bCs/>
          <w:szCs w:val="20"/>
        </w:rPr>
        <w:t xml:space="preserve"> Éta</w:t>
      </w:r>
      <w:r w:rsidR="0069094F">
        <w:rPr>
          <w:rFonts w:cs="Arial"/>
          <w:bCs/>
          <w:szCs w:val="20"/>
        </w:rPr>
        <w:t xml:space="preserve"> byly čerpány</w:t>
      </w:r>
      <w:r>
        <w:rPr>
          <w:rFonts w:cs="Arial"/>
          <w:bCs/>
          <w:szCs w:val="20"/>
        </w:rPr>
        <w:t xml:space="preserve"> v plné výši.</w:t>
      </w:r>
      <w:r w:rsidR="0069094F">
        <w:rPr>
          <w:rFonts w:cs="Arial"/>
          <w:bCs/>
          <w:szCs w:val="20"/>
        </w:rPr>
        <w:t xml:space="preserve"> V projektu TAČR Éta </w:t>
      </w:r>
      <w:r w:rsidR="006961B6">
        <w:rPr>
          <w:rFonts w:cs="Arial"/>
          <w:bCs/>
          <w:szCs w:val="20"/>
        </w:rPr>
        <w:t>byl zároveň vyčerpán</w:t>
      </w:r>
      <w:r w:rsidR="0069094F">
        <w:rPr>
          <w:rFonts w:cs="Arial"/>
          <w:bCs/>
          <w:szCs w:val="20"/>
        </w:rPr>
        <w:t xml:space="preserve"> Fond účelově určených prostředků </w:t>
      </w:r>
      <w:r w:rsidR="006961B6">
        <w:rPr>
          <w:rFonts w:cs="Arial"/>
          <w:bCs/>
          <w:szCs w:val="20"/>
        </w:rPr>
        <w:t>vytvořený z nedočerpané dotace roku 2018 ve výši</w:t>
      </w:r>
      <w:r w:rsidR="0069094F">
        <w:rPr>
          <w:rFonts w:cs="Arial"/>
          <w:bCs/>
          <w:szCs w:val="20"/>
        </w:rPr>
        <w:t xml:space="preserve"> 8 563,59 Kč. </w:t>
      </w:r>
    </w:p>
    <w:p w:rsidR="006961B6" w:rsidRDefault="006961B6" w:rsidP="00A7556E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Cs/>
          <w:szCs w:val="20"/>
        </w:rPr>
      </w:pPr>
    </w:p>
    <w:p w:rsidR="00E85D96" w:rsidRPr="00D12E95" w:rsidRDefault="00E85D96" w:rsidP="00E85D96">
      <w:pPr>
        <w:pStyle w:val="Titulek"/>
        <w:rPr>
          <w:rFonts w:cs="Arial"/>
          <w:bCs w:val="0"/>
          <w:color w:val="auto"/>
          <w:sz w:val="20"/>
          <w:szCs w:val="20"/>
        </w:rPr>
      </w:pPr>
      <w:r w:rsidRPr="00D12E95">
        <w:rPr>
          <w:color w:val="auto"/>
          <w:sz w:val="20"/>
          <w:szCs w:val="20"/>
        </w:rPr>
        <w:t xml:space="preserve">Tabulka </w:t>
      </w:r>
      <w:r w:rsidR="002F7574">
        <w:rPr>
          <w:color w:val="auto"/>
          <w:sz w:val="20"/>
          <w:szCs w:val="20"/>
        </w:rPr>
        <w:t>5</w:t>
      </w:r>
      <w:r w:rsidRPr="00D12E95">
        <w:rPr>
          <w:color w:val="auto"/>
          <w:sz w:val="20"/>
          <w:szCs w:val="20"/>
        </w:rPr>
        <w:t xml:space="preserve"> Druhové členění nákladů na vědu a výzkum</w:t>
      </w:r>
    </w:p>
    <w:tbl>
      <w:tblPr>
        <w:tblW w:w="8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5"/>
        <w:gridCol w:w="1185"/>
        <w:gridCol w:w="1185"/>
        <w:gridCol w:w="1185"/>
        <w:gridCol w:w="1185"/>
      </w:tblGrid>
      <w:tr w:rsidR="006961B6" w:rsidRPr="006961B6" w:rsidTr="006961B6">
        <w:trPr>
          <w:trHeight w:val="269"/>
        </w:trPr>
        <w:tc>
          <w:tcPr>
            <w:tcW w:w="424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Neinvestiční náklady (v tis. Kč)</w:t>
            </w:r>
          </w:p>
        </w:tc>
        <w:tc>
          <w:tcPr>
            <w:tcW w:w="118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RVO</w:t>
            </w:r>
          </w:p>
        </w:tc>
        <w:tc>
          <w:tcPr>
            <w:tcW w:w="118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SGS</w:t>
            </w:r>
          </w:p>
        </w:tc>
        <w:tc>
          <w:tcPr>
            <w:tcW w:w="118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TAČR</w:t>
            </w:r>
          </w:p>
        </w:tc>
        <w:tc>
          <w:tcPr>
            <w:tcW w:w="118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Celkem</w:t>
            </w:r>
          </w:p>
        </w:tc>
      </w:tr>
      <w:tr w:rsidR="006961B6" w:rsidRPr="006961B6" w:rsidTr="006961B6">
        <w:trPr>
          <w:trHeight w:val="481"/>
        </w:trPr>
        <w:tc>
          <w:tcPr>
            <w:tcW w:w="424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1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1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1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1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Materiálové náklady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22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61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26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109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materiál všeobecný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81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literatura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</w:tr>
      <w:tr w:rsidR="006961B6" w:rsidRPr="006961B6" w:rsidTr="006961B6">
        <w:trPr>
          <w:trHeight w:val="582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drobný hmotný majetek a technické zhodnocení do 40 000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28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Energie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Opravy a udržování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Cestovné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206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289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 xml:space="preserve">tuzemské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35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zahraniční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252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 xml:space="preserve">ostatní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Náklady na reprezentaci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31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Služby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159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214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služby spojů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4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vložné, školení, semináře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145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software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9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překlady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12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služby ostatní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44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Osobní náklady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1 899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519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2 501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hrubé mzdy, odměny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1 321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281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1 645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DPP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282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zdravotní a sociální pojištění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447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559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zákonné sociální náklady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15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Jiné ostatní náklady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-4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220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301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stipendia za vynikající výsledky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stipendia SGS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125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kurzové ztráty, bankovní poplatky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ostatní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5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tvorba fondů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vnitropodnikové náklady - režie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139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vnitropodnikové služby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-83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30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ind w:firstLineChars="100" w:firstLine="22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dotace spoluřešitelů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426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426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Odpisy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0</w:t>
            </w:r>
          </w:p>
        </w:tc>
      </w:tr>
      <w:tr w:rsidR="006961B6" w:rsidRPr="006961B6" w:rsidTr="006961B6">
        <w:trPr>
          <w:trHeight w:val="280"/>
        </w:trPr>
        <w:tc>
          <w:tcPr>
            <w:tcW w:w="424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Celkem</w:t>
            </w:r>
          </w:p>
        </w:tc>
        <w:tc>
          <w:tcPr>
            <w:tcW w:w="11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2 285</w:t>
            </w:r>
          </w:p>
        </w:tc>
        <w:tc>
          <w:tcPr>
            <w:tcW w:w="11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503</w:t>
            </w:r>
          </w:p>
        </w:tc>
        <w:tc>
          <w:tcPr>
            <w:tcW w:w="11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1 083</w:t>
            </w:r>
          </w:p>
        </w:tc>
        <w:tc>
          <w:tcPr>
            <w:tcW w:w="11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3 871</w:t>
            </w:r>
          </w:p>
        </w:tc>
      </w:tr>
    </w:tbl>
    <w:p w:rsidR="0069094F" w:rsidRDefault="0069094F" w:rsidP="00A7556E">
      <w:pPr>
        <w:widowControl w:val="0"/>
        <w:autoSpaceDE w:val="0"/>
        <w:autoSpaceDN w:val="0"/>
        <w:adjustRightInd w:val="0"/>
        <w:spacing w:after="0" w:line="240" w:lineRule="atLeast"/>
        <w:rPr>
          <w:sz w:val="22"/>
        </w:rPr>
      </w:pPr>
      <w:r>
        <w:fldChar w:fldCharType="begin"/>
      </w:r>
      <w:r>
        <w:instrText xml:space="preserve"> LINK </w:instrText>
      </w:r>
      <w:r w:rsidR="009C2029">
        <w:instrText xml:space="preserve">Excel.Sheet.12 "D:\\Data\\hath3393\\Plocha\\Tajemník\\Výroční zpráva\\2018\\hospodaření\\výroční zpráva 2018 - podklady.xlsx" "prostředky na VaV2018!R1C1:R34C5" </w:instrText>
      </w:r>
      <w:r>
        <w:instrText xml:space="preserve">\a \f 4 \h  \* MERGEFORMAT </w:instrText>
      </w:r>
      <w:r>
        <w:fldChar w:fldCharType="separate"/>
      </w:r>
    </w:p>
    <w:p w:rsidR="00E40296" w:rsidRDefault="0069094F" w:rsidP="00A7556E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fldChar w:fldCharType="end"/>
      </w:r>
      <w:r w:rsidR="00144EE0">
        <w:rPr>
          <w:rFonts w:cs="Arial"/>
          <w:bCs/>
          <w:szCs w:val="20"/>
        </w:rPr>
        <w:t>Prostředky na vědu a výzkum byly čerpány dle nastavených pravidel fakulty. Cestovné a vložné je poskytováno pro aktivní účast na konferencích v rámci tzv. konferenčního balíčku pro akademické pracovníky fakulty. U akademických pracovníků je zároveň část mzdy (zpravidla ve výši 5 % celkové hrubé mzdy) hrazena z prostředků na vědu a výzkum jako podpora vědeckovýzkumné práce. Část objemu prostředků ve výši 266 tis. Kč byla použita na výplatu odměn, které vycházejí z Prémiového řádu fakulty.</w:t>
      </w:r>
    </w:p>
    <w:p w:rsidR="00144EE0" w:rsidRDefault="00144EE0" w:rsidP="00A7556E">
      <w:pPr>
        <w:widowControl w:val="0"/>
        <w:autoSpaceDE w:val="0"/>
        <w:autoSpaceDN w:val="0"/>
        <w:adjustRightInd w:val="0"/>
        <w:spacing w:after="0" w:line="240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U projektů SGS a TAČR probíhalo čerpání dle plánovaného rozpočtu, který je specifikován v projektové žádosti. </w:t>
      </w:r>
    </w:p>
    <w:p w:rsidR="00A7556E" w:rsidRDefault="0040425F" w:rsidP="003F7539">
      <w:pPr>
        <w:pStyle w:val="Nadpis1"/>
      </w:pPr>
      <w:bookmarkStart w:id="8" w:name="_Toc443482111"/>
      <w:r>
        <w:lastRenderedPageBreak/>
        <w:t>Hospodářský výsledek</w:t>
      </w:r>
      <w:bookmarkEnd w:id="8"/>
    </w:p>
    <w:p w:rsidR="00A7556E" w:rsidRDefault="00A7556E" w:rsidP="00A7556E">
      <w:r>
        <w:br w:type="page"/>
      </w:r>
    </w:p>
    <w:p w:rsidR="0040425F" w:rsidRDefault="0040425F" w:rsidP="00A7556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A7556E" w:rsidRDefault="0040425F" w:rsidP="002005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Dosažené rozpočtové úspory za rok 201</w:t>
      </w:r>
      <w:r w:rsidR="006961B6">
        <w:rPr>
          <w:rFonts w:eastAsia="Times New Roman" w:cs="Arial"/>
          <w:szCs w:val="20"/>
          <w:lang w:eastAsia="cs-CZ"/>
        </w:rPr>
        <w:t>9</w:t>
      </w:r>
      <w:r w:rsidR="00483D6A">
        <w:rPr>
          <w:rFonts w:eastAsia="Times New Roman" w:cs="Arial"/>
          <w:szCs w:val="20"/>
          <w:lang w:eastAsia="cs-CZ"/>
        </w:rPr>
        <w:t>, realizace kurzů celoživotního vzdělávání a doplňkové činnosti</w:t>
      </w:r>
      <w:r w:rsidR="00694C0C">
        <w:rPr>
          <w:rFonts w:eastAsia="Times New Roman" w:cs="Arial"/>
          <w:szCs w:val="20"/>
          <w:lang w:eastAsia="cs-CZ"/>
        </w:rPr>
        <w:t>,</w:t>
      </w:r>
      <w:r w:rsidR="00483D6A">
        <w:rPr>
          <w:rFonts w:eastAsia="Times New Roman" w:cs="Arial"/>
          <w:szCs w:val="20"/>
          <w:lang w:eastAsia="cs-CZ"/>
        </w:rPr>
        <w:t xml:space="preserve"> </w:t>
      </w:r>
      <w:r w:rsidR="00404A90">
        <w:rPr>
          <w:rFonts w:eastAsia="Times New Roman" w:cs="Arial"/>
          <w:szCs w:val="20"/>
          <w:lang w:eastAsia="cs-CZ"/>
        </w:rPr>
        <w:t xml:space="preserve">přispěly </w:t>
      </w:r>
      <w:r w:rsidR="00483D6A">
        <w:rPr>
          <w:rFonts w:eastAsia="Times New Roman" w:cs="Arial"/>
          <w:szCs w:val="20"/>
          <w:lang w:eastAsia="cs-CZ"/>
        </w:rPr>
        <w:t>v dosažení kladného</w:t>
      </w:r>
      <w:r>
        <w:rPr>
          <w:rFonts w:eastAsia="Times New Roman" w:cs="Arial"/>
          <w:szCs w:val="20"/>
          <w:lang w:eastAsia="cs-CZ"/>
        </w:rPr>
        <w:t xml:space="preserve"> hospodářsk</w:t>
      </w:r>
      <w:r w:rsidR="00483D6A">
        <w:rPr>
          <w:rFonts w:eastAsia="Times New Roman" w:cs="Arial"/>
          <w:szCs w:val="20"/>
          <w:lang w:eastAsia="cs-CZ"/>
        </w:rPr>
        <w:t>ého</w:t>
      </w:r>
      <w:r>
        <w:rPr>
          <w:rFonts w:eastAsia="Times New Roman" w:cs="Arial"/>
          <w:szCs w:val="20"/>
          <w:lang w:eastAsia="cs-CZ"/>
        </w:rPr>
        <w:t xml:space="preserve"> výsled</w:t>
      </w:r>
      <w:r w:rsidR="00483D6A">
        <w:rPr>
          <w:rFonts w:eastAsia="Times New Roman" w:cs="Arial"/>
          <w:szCs w:val="20"/>
          <w:lang w:eastAsia="cs-CZ"/>
        </w:rPr>
        <w:t>ku</w:t>
      </w:r>
      <w:r>
        <w:rPr>
          <w:rFonts w:eastAsia="Times New Roman" w:cs="Arial"/>
          <w:szCs w:val="20"/>
          <w:lang w:eastAsia="cs-CZ"/>
        </w:rPr>
        <w:t xml:space="preserve"> fakulty ve výši </w:t>
      </w:r>
      <w:r w:rsidR="006961B6">
        <w:rPr>
          <w:rFonts w:eastAsia="Times New Roman" w:cs="Arial"/>
          <w:szCs w:val="20"/>
          <w:lang w:eastAsia="cs-CZ"/>
        </w:rPr>
        <w:t>639 561,27</w:t>
      </w:r>
      <w:r w:rsidR="00483D6A">
        <w:rPr>
          <w:rFonts w:eastAsia="Times New Roman" w:cs="Arial"/>
          <w:szCs w:val="20"/>
          <w:lang w:eastAsia="cs-CZ"/>
        </w:rPr>
        <w:t xml:space="preserve"> Kč</w:t>
      </w:r>
      <w:r>
        <w:rPr>
          <w:rFonts w:eastAsia="Times New Roman" w:cs="Arial"/>
          <w:szCs w:val="20"/>
          <w:lang w:eastAsia="cs-CZ"/>
        </w:rPr>
        <w:t xml:space="preserve">. Hospodářský výsledek </w:t>
      </w:r>
      <w:r w:rsidR="006961B6">
        <w:rPr>
          <w:rFonts w:eastAsia="Times New Roman" w:cs="Arial"/>
          <w:szCs w:val="20"/>
          <w:lang w:eastAsia="cs-CZ"/>
        </w:rPr>
        <w:t>byl převeden do fondu provozních prostředků.</w:t>
      </w:r>
    </w:p>
    <w:p w:rsidR="00483D6A" w:rsidRDefault="00483D6A" w:rsidP="002005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cs-CZ"/>
        </w:rPr>
      </w:pPr>
    </w:p>
    <w:p w:rsidR="0069094F" w:rsidRDefault="00483D6A" w:rsidP="004922C1">
      <w:pPr>
        <w:pStyle w:val="Titulek"/>
        <w:spacing w:after="120"/>
        <w:rPr>
          <w:sz w:val="22"/>
        </w:rPr>
      </w:pPr>
      <w:r w:rsidRPr="00D12E95">
        <w:rPr>
          <w:color w:val="auto"/>
          <w:sz w:val="20"/>
          <w:szCs w:val="20"/>
        </w:rPr>
        <w:t xml:space="preserve">Tabulka </w:t>
      </w:r>
      <w:r w:rsidR="002F7574">
        <w:rPr>
          <w:color w:val="auto"/>
          <w:sz w:val="20"/>
          <w:szCs w:val="20"/>
        </w:rPr>
        <w:t>6</w:t>
      </w:r>
      <w:r w:rsidRPr="00D12E95">
        <w:rPr>
          <w:color w:val="auto"/>
          <w:sz w:val="20"/>
          <w:szCs w:val="20"/>
        </w:rPr>
        <w:t xml:space="preserve"> Hospodářský </w:t>
      </w:r>
      <w:r w:rsidR="0069094F">
        <w:rPr>
          <w:color w:val="auto"/>
          <w:sz w:val="20"/>
          <w:szCs w:val="20"/>
        </w:rPr>
        <w:t>výsledek 20</w:t>
      </w:r>
      <w:r w:rsidR="006961B6">
        <w:rPr>
          <w:color w:val="auto"/>
          <w:sz w:val="20"/>
          <w:szCs w:val="20"/>
        </w:rPr>
        <w:t>19</w:t>
      </w:r>
      <w:r w:rsidR="0069094F">
        <w:fldChar w:fldCharType="begin"/>
      </w:r>
      <w:r w:rsidR="0069094F">
        <w:instrText xml:space="preserve"> LINK </w:instrText>
      </w:r>
      <w:r w:rsidR="009C2029">
        <w:instrText xml:space="preserve">Excel.Sheet.12 "D:\\Data\\hath3393\\Plocha\\Tajemník\\Výroční zpráva\\2018\\hospodaření\\výroční zpráva 2018 - podklady.xlsx" HV2018_podklad_Graf4!R1C1:R5C4 </w:instrText>
      </w:r>
      <w:r w:rsidR="0069094F">
        <w:instrText xml:space="preserve">\a \f 4 \h  \* MERGEFORMAT </w:instrText>
      </w:r>
      <w:r w:rsidR="0069094F">
        <w:fldChar w:fldCharType="separate"/>
      </w:r>
    </w:p>
    <w:p w:rsidR="006961B6" w:rsidRPr="00A96D70" w:rsidRDefault="0069094F" w:rsidP="00B254F8">
      <w:pPr>
        <w:spacing w:after="120"/>
      </w:pPr>
      <w:r>
        <w:fldChar w:fldCharType="end"/>
      </w:r>
    </w:p>
    <w:tbl>
      <w:tblPr>
        <w:tblW w:w="9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9"/>
        <w:gridCol w:w="1732"/>
        <w:gridCol w:w="1732"/>
        <w:gridCol w:w="1732"/>
      </w:tblGrid>
      <w:tr w:rsidR="006961B6" w:rsidRPr="006961B6" w:rsidTr="006961B6">
        <w:trPr>
          <w:trHeight w:val="648"/>
        </w:trPr>
        <w:tc>
          <w:tcPr>
            <w:tcW w:w="392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Rok 2018 (v tis. Kč)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Výnosy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Náklady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Hospodářský výsledek</w:t>
            </w:r>
          </w:p>
        </w:tc>
      </w:tr>
      <w:tr w:rsidR="006961B6" w:rsidRPr="006961B6" w:rsidTr="006961B6">
        <w:trPr>
          <w:trHeight w:val="324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Vzdělávací činnost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65 725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62 156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3 569</w:t>
            </w:r>
          </w:p>
        </w:tc>
      </w:tr>
      <w:tr w:rsidR="006961B6" w:rsidRPr="006961B6" w:rsidTr="006961B6">
        <w:trPr>
          <w:trHeight w:val="308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Věda a výzkum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3 864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6 793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-2 929</w:t>
            </w:r>
          </w:p>
        </w:tc>
      </w:tr>
      <w:tr w:rsidR="006961B6" w:rsidRPr="006961B6" w:rsidTr="006961B6">
        <w:trPr>
          <w:trHeight w:val="324"/>
        </w:trPr>
        <w:tc>
          <w:tcPr>
            <w:tcW w:w="3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Doplňková činnost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287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</w:t>
            </w:r>
          </w:p>
        </w:tc>
      </w:tr>
      <w:tr w:rsidR="006961B6" w:rsidRPr="006961B6" w:rsidTr="006961B6">
        <w:trPr>
          <w:trHeight w:val="339"/>
        </w:trPr>
        <w:tc>
          <w:tcPr>
            <w:tcW w:w="392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69 876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69 236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640</w:t>
            </w:r>
          </w:p>
        </w:tc>
      </w:tr>
    </w:tbl>
    <w:p w:rsidR="00A96D70" w:rsidRPr="00A96D70" w:rsidRDefault="00A96D70" w:rsidP="00B254F8">
      <w:pPr>
        <w:spacing w:after="120"/>
      </w:pPr>
    </w:p>
    <w:p w:rsidR="00A7556E" w:rsidRDefault="0040425F" w:rsidP="00B254F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Od roku 2007 se fakultě daří pravidelně dosahovat kladného hospodářského výsledku, vývoj je zobrazen v následujícím </w:t>
      </w:r>
      <w:r w:rsidR="00B4085D">
        <w:rPr>
          <w:rFonts w:eastAsia="Times New Roman" w:cs="Arial"/>
          <w:szCs w:val="20"/>
          <w:lang w:eastAsia="cs-CZ"/>
        </w:rPr>
        <w:t>grafu</w:t>
      </w:r>
      <w:r>
        <w:rPr>
          <w:rFonts w:eastAsia="Times New Roman" w:cs="Arial"/>
          <w:szCs w:val="20"/>
          <w:lang w:eastAsia="cs-CZ"/>
        </w:rPr>
        <w:t xml:space="preserve"> </w:t>
      </w:r>
      <w:r w:rsidR="004922C1">
        <w:rPr>
          <w:rFonts w:eastAsia="Times New Roman" w:cs="Arial"/>
          <w:szCs w:val="20"/>
          <w:lang w:eastAsia="cs-CZ"/>
        </w:rPr>
        <w:t xml:space="preserve">na obrázku </w:t>
      </w:r>
      <w:r w:rsidR="00A40A10">
        <w:rPr>
          <w:rFonts w:eastAsia="Times New Roman" w:cs="Arial"/>
          <w:szCs w:val="20"/>
          <w:lang w:eastAsia="cs-CZ"/>
        </w:rPr>
        <w:t>4.</w:t>
      </w:r>
    </w:p>
    <w:p w:rsidR="0040425F" w:rsidRDefault="0040425F" w:rsidP="00A7556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483D6A" w:rsidRDefault="00483D6A" w:rsidP="00483D6A">
      <w:pPr>
        <w:keepNext/>
        <w:widowControl w:val="0"/>
        <w:autoSpaceDE w:val="0"/>
        <w:autoSpaceDN w:val="0"/>
        <w:adjustRightInd w:val="0"/>
        <w:spacing w:after="0" w:line="240" w:lineRule="auto"/>
        <w:jc w:val="left"/>
      </w:pPr>
    </w:p>
    <w:p w:rsidR="0069094F" w:rsidRDefault="006961B6" w:rsidP="0069094F">
      <w:r>
        <w:rPr>
          <w:noProof/>
          <w:lang w:eastAsia="cs-CZ"/>
        </w:rPr>
        <w:drawing>
          <wp:inline distT="0" distB="0" distL="0" distR="0" wp14:anchorId="75B2DE4F" wp14:editId="0D1E7A52">
            <wp:extent cx="5591175" cy="4310063"/>
            <wp:effectExtent l="0" t="0" r="9525" b="1460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54F8" w:rsidRDefault="004922C1" w:rsidP="00B254F8">
      <w:pPr>
        <w:pStyle w:val="Titulek"/>
        <w:spacing w:before="20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Obrázek</w:t>
      </w:r>
      <w:r w:rsidR="00B254F8" w:rsidRPr="00D12E95">
        <w:rPr>
          <w:color w:val="auto"/>
          <w:sz w:val="20"/>
          <w:szCs w:val="20"/>
        </w:rPr>
        <w:t xml:space="preserve"> </w:t>
      </w:r>
      <w:r w:rsidR="00B254F8" w:rsidRPr="00D12E95">
        <w:rPr>
          <w:color w:val="auto"/>
          <w:sz w:val="20"/>
          <w:szCs w:val="20"/>
        </w:rPr>
        <w:fldChar w:fldCharType="begin"/>
      </w:r>
      <w:r w:rsidR="00B254F8" w:rsidRPr="00D12E95">
        <w:rPr>
          <w:color w:val="auto"/>
          <w:sz w:val="20"/>
          <w:szCs w:val="20"/>
        </w:rPr>
        <w:instrText xml:space="preserve"> SEQ Obrázek \* ARABIC </w:instrText>
      </w:r>
      <w:r w:rsidR="00B254F8" w:rsidRPr="00D12E95">
        <w:rPr>
          <w:color w:val="auto"/>
          <w:sz w:val="20"/>
          <w:szCs w:val="20"/>
        </w:rPr>
        <w:fldChar w:fldCharType="separate"/>
      </w:r>
      <w:r w:rsidR="00434C82">
        <w:rPr>
          <w:noProof/>
          <w:color w:val="auto"/>
          <w:sz w:val="20"/>
          <w:szCs w:val="20"/>
        </w:rPr>
        <w:t>4</w:t>
      </w:r>
      <w:r w:rsidR="00B254F8" w:rsidRPr="00D12E95">
        <w:rPr>
          <w:noProof/>
          <w:color w:val="auto"/>
          <w:sz w:val="20"/>
          <w:szCs w:val="20"/>
        </w:rPr>
        <w:fldChar w:fldCharType="end"/>
      </w:r>
      <w:r w:rsidR="00B254F8" w:rsidRPr="00D12E95">
        <w:rPr>
          <w:color w:val="auto"/>
          <w:sz w:val="20"/>
          <w:szCs w:val="20"/>
        </w:rPr>
        <w:t xml:space="preserve"> Vývoj hospodářského výsledku od roku 2007</w:t>
      </w:r>
    </w:p>
    <w:p w:rsidR="00B254F8" w:rsidRPr="0069094F" w:rsidRDefault="00B254F8" w:rsidP="0069094F"/>
    <w:p w:rsidR="004F3070" w:rsidRDefault="00A40A10" w:rsidP="003F7539">
      <w:pPr>
        <w:pStyle w:val="Nadpis1"/>
      </w:pPr>
      <w:bookmarkStart w:id="9" w:name="_Toc443482112"/>
      <w:r>
        <w:lastRenderedPageBreak/>
        <w:t>Investiční prostředky</w:t>
      </w:r>
      <w:bookmarkEnd w:id="9"/>
    </w:p>
    <w:p w:rsidR="00A40A10" w:rsidRDefault="00A40A10" w:rsidP="004F3070"/>
    <w:p w:rsidR="004F3070" w:rsidRDefault="004F3070" w:rsidP="004F3070">
      <w:r>
        <w:br w:type="page"/>
      </w:r>
    </w:p>
    <w:p w:rsidR="00412044" w:rsidRDefault="00A40A10" w:rsidP="00412044">
      <w:pPr>
        <w:spacing w:after="0"/>
        <w:rPr>
          <w:rFonts w:eastAsia="Times New Roman" w:cs="Arial"/>
          <w:szCs w:val="20"/>
          <w:lang w:eastAsia="x-none"/>
        </w:rPr>
      </w:pPr>
      <w:r>
        <w:rPr>
          <w:rFonts w:eastAsia="Times New Roman" w:cs="Arial"/>
          <w:szCs w:val="20"/>
          <w:lang w:eastAsia="cs-CZ"/>
        </w:rPr>
        <w:lastRenderedPageBreak/>
        <w:t>V roce 201</w:t>
      </w:r>
      <w:r w:rsidR="006961B6">
        <w:rPr>
          <w:rFonts w:eastAsia="Times New Roman" w:cs="Arial"/>
          <w:szCs w:val="20"/>
          <w:lang w:eastAsia="cs-CZ"/>
        </w:rPr>
        <w:t>9</w:t>
      </w:r>
      <w:r>
        <w:rPr>
          <w:rFonts w:eastAsia="Times New Roman" w:cs="Arial"/>
          <w:szCs w:val="20"/>
          <w:lang w:eastAsia="cs-CZ"/>
        </w:rPr>
        <w:t xml:space="preserve"> měla fakulta k dispozici investiční prostředky v souhrnné výši </w:t>
      </w:r>
      <w:r w:rsidR="006961B6">
        <w:rPr>
          <w:rFonts w:eastAsia="Times New Roman" w:cs="Arial"/>
          <w:szCs w:val="20"/>
          <w:lang w:eastAsia="cs-CZ"/>
        </w:rPr>
        <w:t>4 329</w:t>
      </w:r>
      <w:r>
        <w:rPr>
          <w:rFonts w:eastAsia="Times New Roman" w:cs="Arial"/>
          <w:szCs w:val="20"/>
          <w:lang w:eastAsia="cs-CZ"/>
        </w:rPr>
        <w:t xml:space="preserve"> tis. Kč.</w:t>
      </w:r>
      <w:r w:rsidR="00412044">
        <w:rPr>
          <w:rFonts w:eastAsia="Times New Roman" w:cs="Arial"/>
          <w:szCs w:val="20"/>
          <w:lang w:eastAsia="cs-CZ"/>
        </w:rPr>
        <w:t xml:space="preserve"> </w:t>
      </w:r>
      <w:r w:rsidR="00412044">
        <w:rPr>
          <w:rFonts w:eastAsia="Times New Roman" w:cs="Arial"/>
          <w:szCs w:val="20"/>
          <w:lang w:eastAsia="x-none"/>
        </w:rPr>
        <w:t>Investičním zdrojem FZS pro rok 201</w:t>
      </w:r>
      <w:r w:rsidR="006961B6">
        <w:rPr>
          <w:rFonts w:eastAsia="Times New Roman" w:cs="Arial"/>
          <w:szCs w:val="20"/>
          <w:lang w:eastAsia="x-none"/>
        </w:rPr>
        <w:t>9</w:t>
      </w:r>
      <w:r w:rsidR="00412044">
        <w:rPr>
          <w:rFonts w:eastAsia="Times New Roman" w:cs="Arial"/>
          <w:szCs w:val="20"/>
          <w:lang w:eastAsia="x-none"/>
        </w:rPr>
        <w:t xml:space="preserve"> byl fond reprodukce investičního majetku, který je tvořen výhradně z odpisů majetku pořízeného z vlastních zdrojů a z hospodářského výsledku.</w:t>
      </w:r>
      <w:r w:rsidR="0069094F">
        <w:rPr>
          <w:rFonts w:eastAsia="Times New Roman" w:cs="Arial"/>
          <w:szCs w:val="20"/>
          <w:lang w:eastAsia="x-none"/>
        </w:rPr>
        <w:t xml:space="preserve"> Jeho celková výše byla </w:t>
      </w:r>
      <w:r w:rsidR="006961B6">
        <w:rPr>
          <w:rFonts w:eastAsia="Times New Roman" w:cs="Arial"/>
          <w:szCs w:val="20"/>
          <w:lang w:eastAsia="x-none"/>
        </w:rPr>
        <w:t>3 586</w:t>
      </w:r>
      <w:r w:rsidR="0069094F">
        <w:rPr>
          <w:rFonts w:eastAsia="Times New Roman" w:cs="Arial"/>
          <w:szCs w:val="20"/>
          <w:lang w:eastAsia="x-none"/>
        </w:rPr>
        <w:t xml:space="preserve"> tis. Kč. Dalším zdrojem jsou projek</w:t>
      </w:r>
      <w:r w:rsidR="006961B6">
        <w:rPr>
          <w:rFonts w:eastAsia="Times New Roman" w:cs="Arial"/>
          <w:szCs w:val="20"/>
          <w:lang w:eastAsia="x-none"/>
        </w:rPr>
        <w:t>ty OP VVV, kde bylo pro rok 2019</w:t>
      </w:r>
      <w:r w:rsidR="0069094F">
        <w:rPr>
          <w:rFonts w:eastAsia="Times New Roman" w:cs="Arial"/>
          <w:szCs w:val="20"/>
          <w:lang w:eastAsia="x-none"/>
        </w:rPr>
        <w:t xml:space="preserve"> vyčleněno </w:t>
      </w:r>
      <w:r w:rsidR="006961B6">
        <w:rPr>
          <w:rFonts w:eastAsia="Times New Roman" w:cs="Arial"/>
          <w:szCs w:val="20"/>
          <w:lang w:eastAsia="x-none"/>
        </w:rPr>
        <w:t>343</w:t>
      </w:r>
      <w:r w:rsidR="0069094F">
        <w:rPr>
          <w:rFonts w:eastAsia="Times New Roman" w:cs="Arial"/>
          <w:szCs w:val="20"/>
          <w:lang w:eastAsia="x-none"/>
        </w:rPr>
        <w:t xml:space="preserve"> tis. Kč na nákup materiálně – technického vybavení fakulty.</w:t>
      </w:r>
    </w:p>
    <w:p w:rsidR="00412044" w:rsidRDefault="00412044" w:rsidP="004F3070">
      <w:pPr>
        <w:spacing w:after="0"/>
        <w:rPr>
          <w:rFonts w:eastAsia="Times New Roman" w:cs="Arial"/>
          <w:szCs w:val="20"/>
          <w:lang w:eastAsia="x-none"/>
        </w:rPr>
      </w:pPr>
    </w:p>
    <w:p w:rsidR="00D12E95" w:rsidRDefault="00D12E95" w:rsidP="004F3070">
      <w:pPr>
        <w:spacing w:after="0"/>
        <w:rPr>
          <w:rFonts w:eastAsia="Times New Roman" w:cs="Arial"/>
          <w:szCs w:val="20"/>
          <w:lang w:eastAsia="x-none"/>
        </w:rPr>
      </w:pPr>
      <w:r>
        <w:rPr>
          <w:rFonts w:eastAsia="Times New Roman" w:cs="Arial"/>
          <w:szCs w:val="20"/>
          <w:lang w:eastAsia="x-none"/>
        </w:rPr>
        <w:t xml:space="preserve">Využití investičních prostředků uvádí </w:t>
      </w:r>
      <w:r w:rsidR="004C34BF">
        <w:rPr>
          <w:rFonts w:eastAsia="Times New Roman" w:cs="Arial"/>
          <w:szCs w:val="20"/>
          <w:lang w:eastAsia="x-none"/>
        </w:rPr>
        <w:t xml:space="preserve">tabulka </w:t>
      </w:r>
      <w:r w:rsidR="004922C1">
        <w:rPr>
          <w:rFonts w:eastAsia="Times New Roman" w:cs="Arial"/>
          <w:szCs w:val="20"/>
          <w:lang w:eastAsia="x-none"/>
        </w:rPr>
        <w:t>7</w:t>
      </w:r>
      <w:r w:rsidR="004C34BF">
        <w:rPr>
          <w:rFonts w:eastAsia="Times New Roman" w:cs="Arial"/>
          <w:szCs w:val="20"/>
          <w:lang w:eastAsia="x-none"/>
        </w:rPr>
        <w:t>.</w:t>
      </w:r>
    </w:p>
    <w:p w:rsidR="004C34BF" w:rsidRDefault="004C34BF" w:rsidP="004F3070">
      <w:pPr>
        <w:spacing w:after="0"/>
        <w:rPr>
          <w:rFonts w:eastAsia="Times New Roman" w:cs="Arial"/>
          <w:szCs w:val="20"/>
          <w:lang w:eastAsia="x-none"/>
        </w:rPr>
      </w:pPr>
    </w:p>
    <w:p w:rsidR="00001863" w:rsidRPr="00D12E95" w:rsidRDefault="00001863" w:rsidP="00001863">
      <w:pPr>
        <w:pStyle w:val="Titulek"/>
        <w:rPr>
          <w:rFonts w:eastAsia="Times New Roman" w:cs="Arial"/>
          <w:color w:val="auto"/>
          <w:sz w:val="20"/>
          <w:szCs w:val="20"/>
          <w:lang w:eastAsia="x-none"/>
        </w:rPr>
      </w:pPr>
      <w:bookmarkStart w:id="10" w:name="_Ref445811310"/>
      <w:r w:rsidRPr="00D12E95">
        <w:rPr>
          <w:color w:val="auto"/>
          <w:sz w:val="20"/>
          <w:szCs w:val="20"/>
        </w:rPr>
        <w:t xml:space="preserve">Tabulka </w:t>
      </w:r>
      <w:r w:rsidR="002F7574">
        <w:rPr>
          <w:color w:val="auto"/>
          <w:sz w:val="20"/>
          <w:szCs w:val="20"/>
        </w:rPr>
        <w:t>7</w:t>
      </w:r>
      <w:r w:rsidRPr="00D12E95">
        <w:rPr>
          <w:color w:val="auto"/>
          <w:sz w:val="20"/>
          <w:szCs w:val="20"/>
        </w:rPr>
        <w:t xml:space="preserve"> Čerpání investičních prostředků 201</w:t>
      </w:r>
      <w:bookmarkEnd w:id="10"/>
      <w:r w:rsidR="006961B6">
        <w:rPr>
          <w:color w:val="auto"/>
          <w:sz w:val="20"/>
          <w:szCs w:val="20"/>
        </w:rPr>
        <w:t>9</w:t>
      </w:r>
    </w:p>
    <w:tbl>
      <w:tblPr>
        <w:tblW w:w="9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2"/>
        <w:gridCol w:w="2316"/>
      </w:tblGrid>
      <w:tr w:rsidR="006961B6" w:rsidRPr="006961B6" w:rsidTr="005203F6">
        <w:trPr>
          <w:trHeight w:val="336"/>
        </w:trPr>
        <w:tc>
          <w:tcPr>
            <w:tcW w:w="68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Investiční výdaje (v tis. Kč)</w:t>
            </w:r>
          </w:p>
        </w:tc>
        <w:tc>
          <w:tcPr>
            <w:tcW w:w="231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Pořizovací cena v tis. Kč</w:t>
            </w:r>
          </w:p>
        </w:tc>
      </w:tr>
      <w:tr w:rsidR="006961B6" w:rsidRPr="006961B6" w:rsidTr="005203F6">
        <w:trPr>
          <w:trHeight w:val="495"/>
        </w:trPr>
        <w:tc>
          <w:tcPr>
            <w:tcW w:w="68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231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</w:tr>
      <w:tr w:rsidR="006961B6" w:rsidRPr="006961B6" w:rsidTr="005203F6">
        <w:trPr>
          <w:trHeight w:val="336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Software FONS Enerprise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961</w:t>
            </w:r>
          </w:p>
        </w:tc>
      </w:tr>
      <w:tr w:rsidR="006961B6" w:rsidRPr="006961B6" w:rsidTr="005203F6">
        <w:trPr>
          <w:trHeight w:val="320"/>
        </w:trPr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Spoluúčast fakulty - simulovaný pacient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343</w:t>
            </w:r>
          </w:p>
        </w:tc>
      </w:tr>
      <w:tr w:rsidR="006961B6" w:rsidRPr="006961B6" w:rsidTr="005203F6">
        <w:trPr>
          <w:trHeight w:val="320"/>
        </w:trPr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Kapitálový příspěvek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sz w:val="22"/>
                <w:lang w:eastAsia="cs-CZ"/>
              </w:rPr>
              <w:t>400</w:t>
            </w:r>
          </w:p>
        </w:tc>
      </w:tr>
      <w:tr w:rsidR="006961B6" w:rsidRPr="006961B6" w:rsidTr="005203F6">
        <w:trPr>
          <w:trHeight w:val="336"/>
        </w:trPr>
        <w:tc>
          <w:tcPr>
            <w:tcW w:w="68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Celkem</w:t>
            </w:r>
          </w:p>
        </w:tc>
        <w:tc>
          <w:tcPr>
            <w:tcW w:w="23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961B6" w:rsidRPr="006961B6" w:rsidRDefault="006961B6" w:rsidP="00696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6961B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1 704</w:t>
            </w:r>
          </w:p>
        </w:tc>
      </w:tr>
    </w:tbl>
    <w:p w:rsidR="00C21F7C" w:rsidRDefault="00C21F7C" w:rsidP="004F3070">
      <w:pPr>
        <w:spacing w:after="0"/>
        <w:rPr>
          <w:sz w:val="22"/>
        </w:rPr>
      </w:pPr>
      <w:r>
        <w:fldChar w:fldCharType="begin"/>
      </w:r>
      <w:r>
        <w:instrText xml:space="preserve"> LINK </w:instrText>
      </w:r>
      <w:r w:rsidR="009C2029">
        <w:instrText xml:space="preserve">Excel.Sheet.12 "D:\\Data\\hath3393\\Plocha\\Tajemník\\Výroční zpráva\\2018\\hospodaření\\výroční zpráva 2018 - podklady.xlsx" Investice2018!R11C1:R16C2 </w:instrText>
      </w:r>
      <w:r>
        <w:instrText xml:space="preserve">\a \f 4 \h  \* MERGEFORMAT </w:instrText>
      </w:r>
      <w:r>
        <w:fldChar w:fldCharType="separate"/>
      </w:r>
    </w:p>
    <w:p w:rsidR="00001863" w:rsidRDefault="00C21F7C" w:rsidP="004F3070">
      <w:pPr>
        <w:spacing w:after="0"/>
        <w:rPr>
          <w:rFonts w:eastAsia="Times New Roman" w:cs="Arial"/>
          <w:szCs w:val="20"/>
          <w:lang w:eastAsia="x-none"/>
        </w:rPr>
      </w:pPr>
      <w:r>
        <w:rPr>
          <w:rFonts w:eastAsia="Times New Roman" w:cs="Arial"/>
          <w:szCs w:val="20"/>
          <w:lang w:eastAsia="x-none"/>
        </w:rPr>
        <w:fldChar w:fldCharType="end"/>
      </w:r>
    </w:p>
    <w:p w:rsidR="00001863" w:rsidRDefault="00412044" w:rsidP="00001863">
      <w:pPr>
        <w:spacing w:after="0"/>
        <w:rPr>
          <w:rFonts w:eastAsia="Times New Roman" w:cs="Arial"/>
          <w:szCs w:val="20"/>
          <w:lang w:eastAsia="x-none"/>
        </w:rPr>
      </w:pPr>
      <w:r>
        <w:rPr>
          <w:rFonts w:eastAsia="Times New Roman" w:cs="Arial"/>
          <w:szCs w:val="20"/>
          <w:lang w:eastAsia="x-none"/>
        </w:rPr>
        <w:t xml:space="preserve">Nejvýznamnější investiční položku </w:t>
      </w:r>
      <w:r w:rsidR="005203F6">
        <w:rPr>
          <w:rFonts w:eastAsia="Times New Roman" w:cs="Arial"/>
          <w:szCs w:val="20"/>
          <w:lang w:eastAsia="x-none"/>
        </w:rPr>
        <w:t>tvořil v roce 2019 nákup software FONS En</w:t>
      </w:r>
      <w:r w:rsidR="00185930">
        <w:rPr>
          <w:rFonts w:eastAsia="Times New Roman" w:cs="Arial"/>
          <w:szCs w:val="20"/>
          <w:lang w:eastAsia="x-none"/>
        </w:rPr>
        <w:t>t</w:t>
      </w:r>
      <w:r w:rsidR="005203F6">
        <w:rPr>
          <w:rFonts w:eastAsia="Times New Roman" w:cs="Arial"/>
          <w:szCs w:val="20"/>
          <w:lang w:eastAsia="x-none"/>
        </w:rPr>
        <w:t xml:space="preserve">erprise. Ten byl původně uhrazen z projektu OP VVV, ale po kontrole ze strany MŠMT byl z projektu vyřazen a fakulta musela tento software uhradit z vlastních zdrojů. </w:t>
      </w:r>
    </w:p>
    <w:p w:rsidR="004F3070" w:rsidRDefault="00001863" w:rsidP="00DE316F">
      <w:pPr>
        <w:pStyle w:val="Nadpis2"/>
      </w:pPr>
      <w:bookmarkStart w:id="11" w:name="_Toc443482113"/>
      <w:r>
        <w:t>T</w:t>
      </w:r>
      <w:r w:rsidR="00A40A10">
        <w:t>vorba a čerpání fondů</w:t>
      </w:r>
      <w:bookmarkEnd w:id="11"/>
    </w:p>
    <w:p w:rsidR="003C7E86" w:rsidRDefault="003C7E86" w:rsidP="00001863">
      <w:pPr>
        <w:rPr>
          <w:rFonts w:eastAsia="Times New Roman" w:cs="Arial"/>
          <w:szCs w:val="20"/>
          <w:lang w:eastAsia="cs-CZ"/>
        </w:rPr>
      </w:pPr>
      <w:bookmarkStart w:id="12" w:name="_Toc353261107"/>
      <w:bookmarkStart w:id="13" w:name="_Toc353265067"/>
      <w:r>
        <w:rPr>
          <w:rFonts w:eastAsia="Times New Roman" w:cs="Arial"/>
          <w:szCs w:val="20"/>
          <w:lang w:eastAsia="cs-CZ"/>
        </w:rPr>
        <w:t xml:space="preserve">Na základě § 18, odst. 6 zákona č. 111/198 Sb. o vysokých školách zřizuje veřejná vysoká škola fondy. </w:t>
      </w:r>
      <w:r w:rsidR="00150DD7">
        <w:rPr>
          <w:rFonts w:eastAsia="Times New Roman" w:cs="Arial"/>
          <w:szCs w:val="20"/>
          <w:lang w:eastAsia="cs-CZ"/>
        </w:rPr>
        <w:t>Dle</w:t>
      </w:r>
      <w:r>
        <w:rPr>
          <w:rFonts w:eastAsia="Times New Roman" w:cs="Arial"/>
          <w:szCs w:val="20"/>
          <w:lang w:eastAsia="cs-CZ"/>
        </w:rPr>
        <w:t xml:space="preserve"> pravidel hospodaření Univerzity Pardubice může děkan fakulty rozhodovat v rámci svého rozpočtu o těchto fondech:</w:t>
      </w:r>
    </w:p>
    <w:p w:rsidR="003C7E86" w:rsidRDefault="003C7E86" w:rsidP="004F307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- fond reprodukce investičního majetku (FRIM),</w:t>
      </w:r>
    </w:p>
    <w:p w:rsidR="003C7E86" w:rsidRDefault="003C7E86" w:rsidP="004F307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- fond účelově určených prostředků</w:t>
      </w:r>
      <w:r w:rsidR="00C34C3A">
        <w:rPr>
          <w:rFonts w:eastAsia="Times New Roman" w:cs="Arial"/>
          <w:szCs w:val="20"/>
          <w:lang w:eastAsia="cs-CZ"/>
        </w:rPr>
        <w:t xml:space="preserve"> (FÚUP)</w:t>
      </w:r>
      <w:r>
        <w:rPr>
          <w:rFonts w:eastAsia="Times New Roman" w:cs="Arial"/>
          <w:szCs w:val="20"/>
          <w:lang w:eastAsia="cs-CZ"/>
        </w:rPr>
        <w:t>,</w:t>
      </w:r>
    </w:p>
    <w:p w:rsidR="003C7E86" w:rsidRDefault="003C7E86" w:rsidP="004F307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- fond provozních prostředků</w:t>
      </w:r>
      <w:r w:rsidR="00C34C3A">
        <w:rPr>
          <w:rFonts w:eastAsia="Times New Roman" w:cs="Arial"/>
          <w:szCs w:val="20"/>
          <w:lang w:eastAsia="cs-CZ"/>
        </w:rPr>
        <w:t xml:space="preserve"> (FPP)</w:t>
      </w:r>
      <w:r>
        <w:rPr>
          <w:rFonts w:eastAsia="Times New Roman" w:cs="Arial"/>
          <w:szCs w:val="20"/>
          <w:lang w:eastAsia="cs-CZ"/>
        </w:rPr>
        <w:t>.</w:t>
      </w:r>
    </w:p>
    <w:p w:rsidR="003C7E86" w:rsidRDefault="003C7E86" w:rsidP="004F307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szCs w:val="20"/>
          <w:lang w:eastAsia="cs-CZ"/>
        </w:rPr>
      </w:pPr>
    </w:p>
    <w:p w:rsidR="003C7E86" w:rsidRDefault="003C7E86" w:rsidP="00150D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Fondy (s výjimkou fondu účelově určených prostředků) jsou naplňovány zejména z hospodářského výsledku a</w:t>
      </w:r>
      <w:r w:rsidR="00200581">
        <w:rPr>
          <w:rFonts w:eastAsia="Times New Roman" w:cs="Arial"/>
          <w:szCs w:val="20"/>
          <w:lang w:eastAsia="cs-CZ"/>
        </w:rPr>
        <w:t> </w:t>
      </w:r>
      <w:r>
        <w:rPr>
          <w:rFonts w:eastAsia="Times New Roman" w:cs="Arial"/>
          <w:szCs w:val="20"/>
          <w:lang w:eastAsia="cs-CZ"/>
        </w:rPr>
        <w:t xml:space="preserve">ze zůstatku </w:t>
      </w:r>
      <w:r w:rsidR="00150DD7">
        <w:rPr>
          <w:rFonts w:eastAsia="Times New Roman" w:cs="Arial"/>
          <w:szCs w:val="20"/>
          <w:lang w:eastAsia="cs-CZ"/>
        </w:rPr>
        <w:t xml:space="preserve">dotací a </w:t>
      </w:r>
      <w:r>
        <w:rPr>
          <w:rFonts w:eastAsia="Times New Roman" w:cs="Arial"/>
          <w:szCs w:val="20"/>
          <w:lang w:eastAsia="cs-CZ"/>
        </w:rPr>
        <w:t>příspěvků k 31. 12. běžného roku. Podrobnější informace o naplňování a čerpání jednotlivých fondů je uveden v </w:t>
      </w:r>
      <w:r w:rsidR="004C34BF">
        <w:rPr>
          <w:rFonts w:eastAsia="Times New Roman" w:cs="Arial"/>
          <w:szCs w:val="20"/>
          <w:lang w:eastAsia="cs-CZ"/>
        </w:rPr>
        <w:t>t</w:t>
      </w:r>
      <w:r w:rsidR="004922C1">
        <w:rPr>
          <w:rFonts w:eastAsia="Times New Roman" w:cs="Arial"/>
          <w:szCs w:val="20"/>
          <w:lang w:eastAsia="cs-CZ"/>
        </w:rPr>
        <w:t>abulce 8</w:t>
      </w:r>
      <w:r>
        <w:rPr>
          <w:rFonts w:eastAsia="Times New Roman" w:cs="Arial"/>
          <w:szCs w:val="20"/>
          <w:lang w:eastAsia="cs-CZ"/>
        </w:rPr>
        <w:t>.</w:t>
      </w:r>
    </w:p>
    <w:p w:rsidR="00001863" w:rsidRDefault="00001863" w:rsidP="00150D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cs-CZ"/>
        </w:rPr>
      </w:pPr>
    </w:p>
    <w:p w:rsidR="003C7E86" w:rsidRPr="00AB740A" w:rsidRDefault="00001863" w:rsidP="00B254F8">
      <w:pPr>
        <w:pStyle w:val="Titulek"/>
        <w:spacing w:after="120"/>
        <w:rPr>
          <w:rFonts w:eastAsia="Times New Roman" w:cs="Arial"/>
          <w:color w:val="auto"/>
          <w:sz w:val="20"/>
          <w:szCs w:val="20"/>
          <w:lang w:eastAsia="cs-CZ"/>
        </w:rPr>
      </w:pPr>
      <w:r w:rsidRPr="00AB740A">
        <w:rPr>
          <w:color w:val="auto"/>
          <w:sz w:val="20"/>
          <w:szCs w:val="20"/>
        </w:rPr>
        <w:t xml:space="preserve">Tabulka </w:t>
      </w:r>
      <w:r w:rsidR="002B183C">
        <w:rPr>
          <w:color w:val="auto"/>
          <w:sz w:val="20"/>
          <w:szCs w:val="20"/>
        </w:rPr>
        <w:t>8</w:t>
      </w:r>
      <w:r w:rsidRPr="00AB740A">
        <w:rPr>
          <w:color w:val="auto"/>
          <w:sz w:val="20"/>
          <w:szCs w:val="20"/>
        </w:rPr>
        <w:t xml:space="preserve"> Tvorba fondů</w:t>
      </w:r>
    </w:p>
    <w:tbl>
      <w:tblPr>
        <w:tblW w:w="9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1505"/>
        <w:gridCol w:w="1505"/>
        <w:gridCol w:w="1505"/>
        <w:gridCol w:w="1505"/>
      </w:tblGrid>
      <w:tr w:rsidR="005203F6" w:rsidRPr="005203F6" w:rsidTr="005203F6">
        <w:trPr>
          <w:trHeight w:val="320"/>
        </w:trPr>
        <w:tc>
          <w:tcPr>
            <w:tcW w:w="313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203F6" w:rsidRPr="005203F6" w:rsidRDefault="005203F6" w:rsidP="005203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Fondy (v tis. Kč)</w:t>
            </w:r>
          </w:p>
        </w:tc>
        <w:tc>
          <w:tcPr>
            <w:tcW w:w="150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203F6" w:rsidRPr="005203F6" w:rsidRDefault="005203F6" w:rsidP="005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Počáteční zůstatek</w:t>
            </w:r>
          </w:p>
        </w:tc>
        <w:tc>
          <w:tcPr>
            <w:tcW w:w="150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203F6" w:rsidRPr="005203F6" w:rsidRDefault="005203F6" w:rsidP="005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Tvorba</w:t>
            </w:r>
          </w:p>
        </w:tc>
        <w:tc>
          <w:tcPr>
            <w:tcW w:w="150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203F6" w:rsidRPr="005203F6" w:rsidRDefault="005203F6" w:rsidP="005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Čerpání</w:t>
            </w:r>
          </w:p>
        </w:tc>
        <w:tc>
          <w:tcPr>
            <w:tcW w:w="150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203F6" w:rsidRPr="005203F6" w:rsidRDefault="005203F6" w:rsidP="005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Konečný zůstatek</w:t>
            </w:r>
          </w:p>
        </w:tc>
      </w:tr>
      <w:tr w:rsidR="005203F6" w:rsidRPr="005203F6" w:rsidTr="005203F6">
        <w:trPr>
          <w:trHeight w:val="481"/>
        </w:trPr>
        <w:tc>
          <w:tcPr>
            <w:tcW w:w="313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03F6" w:rsidRPr="005203F6" w:rsidRDefault="005203F6" w:rsidP="005203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50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03F6" w:rsidRPr="005203F6" w:rsidRDefault="005203F6" w:rsidP="005203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50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03F6" w:rsidRPr="005203F6" w:rsidRDefault="005203F6" w:rsidP="005203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50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03F6" w:rsidRPr="005203F6" w:rsidRDefault="005203F6" w:rsidP="005203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50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203F6" w:rsidRPr="005203F6" w:rsidRDefault="005203F6" w:rsidP="005203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</w:p>
        </w:tc>
      </w:tr>
      <w:tr w:rsidR="005203F6" w:rsidRPr="005203F6" w:rsidTr="005203F6">
        <w:trPr>
          <w:trHeight w:val="3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FRIM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3 586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743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1 704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2 625</w:t>
            </w:r>
          </w:p>
        </w:tc>
      </w:tr>
      <w:tr w:rsidR="005203F6" w:rsidRPr="005203F6" w:rsidTr="005203F6">
        <w:trPr>
          <w:trHeight w:val="30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Fond odměn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</w:tr>
      <w:tr w:rsidR="005203F6" w:rsidRPr="005203F6" w:rsidTr="005203F6">
        <w:trPr>
          <w:trHeight w:val="30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FÚUP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</w:tr>
      <w:tr w:rsidR="005203F6" w:rsidRPr="005203F6" w:rsidTr="005203F6">
        <w:trPr>
          <w:trHeight w:val="3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FPP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7 875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9 748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sz w:val="22"/>
                <w:lang w:eastAsia="cs-CZ"/>
              </w:rPr>
              <w:t>17 623</w:t>
            </w:r>
          </w:p>
        </w:tc>
      </w:tr>
      <w:tr w:rsidR="005203F6" w:rsidRPr="005203F6" w:rsidTr="005203F6">
        <w:trPr>
          <w:trHeight w:val="335"/>
        </w:trPr>
        <w:tc>
          <w:tcPr>
            <w:tcW w:w="313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Celkem</w:t>
            </w:r>
          </w:p>
        </w:tc>
        <w:tc>
          <w:tcPr>
            <w:tcW w:w="150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11 470</w:t>
            </w:r>
          </w:p>
        </w:tc>
        <w:tc>
          <w:tcPr>
            <w:tcW w:w="150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10 491</w:t>
            </w:r>
          </w:p>
        </w:tc>
        <w:tc>
          <w:tcPr>
            <w:tcW w:w="150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1 713</w:t>
            </w:r>
          </w:p>
        </w:tc>
        <w:tc>
          <w:tcPr>
            <w:tcW w:w="150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03F6" w:rsidRPr="005203F6" w:rsidRDefault="005203F6" w:rsidP="0052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5203F6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20 248</w:t>
            </w:r>
          </w:p>
        </w:tc>
      </w:tr>
    </w:tbl>
    <w:p w:rsidR="00C21F7C" w:rsidRDefault="00C21F7C" w:rsidP="00B254F8">
      <w:pPr>
        <w:pStyle w:val="Titulek"/>
        <w:spacing w:after="120"/>
        <w:jc w:val="center"/>
        <w:rPr>
          <w:b w:val="0"/>
          <w:bCs w:val="0"/>
          <w:color w:val="auto"/>
          <w:sz w:val="22"/>
          <w:szCs w:val="22"/>
        </w:rPr>
      </w:pPr>
      <w:r>
        <w:fldChar w:fldCharType="begin"/>
      </w:r>
      <w:r>
        <w:instrText xml:space="preserve"> LINK </w:instrText>
      </w:r>
      <w:r w:rsidR="009C2029">
        <w:instrText xml:space="preserve">Excel.Sheet.12 "D:\\Data\\hath3393\\Plocha\\Tajemník\\Výroční zpráva\\2018\\hospodaření\\výroční zpráva 2018 - podklady.xlsx" "Fondy 2018!R1C1:R7C5" </w:instrText>
      </w:r>
      <w:r>
        <w:instrText xml:space="preserve">\a \f 4 \h  \* MERGEFORMAT </w:instrText>
      </w:r>
      <w:r>
        <w:fldChar w:fldCharType="separate"/>
      </w:r>
    </w:p>
    <w:p w:rsidR="003E39C7" w:rsidRDefault="00C21F7C" w:rsidP="00B254F8">
      <w:pPr>
        <w:pStyle w:val="Titulek"/>
        <w:spacing w:after="120"/>
        <w:jc w:val="center"/>
      </w:pPr>
      <w:r>
        <w:fldChar w:fldCharType="end"/>
      </w:r>
    </w:p>
    <w:p w:rsidR="004F3070" w:rsidRDefault="00F809D1" w:rsidP="004F3070">
      <w:pPr>
        <w:rPr>
          <w:lang w:eastAsia="cs-CZ"/>
        </w:rPr>
      </w:pPr>
      <w:r>
        <w:rPr>
          <w:lang w:eastAsia="cs-CZ"/>
        </w:rPr>
        <w:lastRenderedPageBreak/>
        <w:t>V roce 201</w:t>
      </w:r>
      <w:r w:rsidR="005203F6">
        <w:rPr>
          <w:lang w:eastAsia="cs-CZ"/>
        </w:rPr>
        <w:t>9</w:t>
      </w:r>
      <w:r>
        <w:rPr>
          <w:lang w:eastAsia="cs-CZ"/>
        </w:rPr>
        <w:t xml:space="preserve"> měla fakulta k dispozici fondy v celkové hodnotě </w:t>
      </w:r>
      <w:r w:rsidR="005203F6">
        <w:rPr>
          <w:lang w:eastAsia="cs-CZ"/>
        </w:rPr>
        <w:t>11 470</w:t>
      </w:r>
      <w:r>
        <w:rPr>
          <w:lang w:eastAsia="cs-CZ"/>
        </w:rPr>
        <w:t xml:space="preserve"> tis. Kč. Fond provozních prostředků </w:t>
      </w:r>
      <w:r w:rsidR="005203F6">
        <w:rPr>
          <w:lang w:eastAsia="cs-CZ"/>
        </w:rPr>
        <w:t>byl navýšen o zůstatek dotace roku 2019 na celkových 17 623 tis. Kč</w:t>
      </w:r>
      <w:r w:rsidR="00C21F7C">
        <w:rPr>
          <w:lang w:eastAsia="cs-CZ"/>
        </w:rPr>
        <w:t xml:space="preserve">. </w:t>
      </w:r>
      <w:r>
        <w:rPr>
          <w:lang w:eastAsia="cs-CZ"/>
        </w:rPr>
        <w:t xml:space="preserve">Fond účelově určených prostředků ve výši </w:t>
      </w:r>
      <w:r w:rsidR="005203F6">
        <w:rPr>
          <w:lang w:eastAsia="cs-CZ"/>
        </w:rPr>
        <w:t>9</w:t>
      </w:r>
      <w:r w:rsidR="00185930">
        <w:rPr>
          <w:lang w:eastAsia="cs-CZ"/>
        </w:rPr>
        <w:t> </w:t>
      </w:r>
      <w:r w:rsidR="00C21F7C">
        <w:rPr>
          <w:lang w:eastAsia="cs-CZ"/>
        </w:rPr>
        <w:t>tis.</w:t>
      </w:r>
      <w:r w:rsidR="00185930">
        <w:rPr>
          <w:lang w:eastAsia="cs-CZ"/>
        </w:rPr>
        <w:t> </w:t>
      </w:r>
      <w:r w:rsidR="00C21F7C">
        <w:rPr>
          <w:lang w:eastAsia="cs-CZ"/>
        </w:rPr>
        <w:t xml:space="preserve">Kč byl vyčerpán </w:t>
      </w:r>
      <w:r w:rsidR="00F1339A">
        <w:rPr>
          <w:lang w:eastAsia="cs-CZ"/>
        </w:rPr>
        <w:t>na realizaci projektu TAČR Éta.</w:t>
      </w:r>
      <w:r>
        <w:rPr>
          <w:lang w:eastAsia="cs-CZ"/>
        </w:rPr>
        <w:t xml:space="preserve"> </w:t>
      </w:r>
      <w:r w:rsidR="004F3070">
        <w:rPr>
          <w:lang w:eastAsia="cs-CZ"/>
        </w:rPr>
        <w:br w:type="page"/>
      </w:r>
    </w:p>
    <w:p w:rsidR="00536C27" w:rsidRDefault="006753D4" w:rsidP="003F7539">
      <w:pPr>
        <w:pStyle w:val="Nadpis1"/>
      </w:pPr>
      <w:bookmarkStart w:id="14" w:name="_Toc443482114"/>
      <w:r>
        <w:lastRenderedPageBreak/>
        <w:t>Závěr</w:t>
      </w:r>
      <w:bookmarkEnd w:id="14"/>
    </w:p>
    <w:p w:rsidR="00536C27" w:rsidRDefault="00536C27" w:rsidP="00536C27">
      <w:pPr>
        <w:rPr>
          <w:rFonts w:ascii="Times New Roman" w:eastAsia="Times New Roman" w:hAnsi="Times New Roman" w:cs="Arial"/>
          <w:color w:val="0070C0"/>
          <w:kern w:val="32"/>
          <w:sz w:val="44"/>
          <w:szCs w:val="32"/>
          <w:lang w:eastAsia="cs-CZ"/>
        </w:rPr>
      </w:pPr>
      <w:r>
        <w:br w:type="page"/>
      </w:r>
    </w:p>
    <w:p w:rsidR="004F3070" w:rsidRDefault="004F3070" w:rsidP="003F7539">
      <w:pPr>
        <w:pStyle w:val="Nadpis1"/>
        <w:numPr>
          <w:ilvl w:val="0"/>
          <w:numId w:val="0"/>
        </w:numPr>
        <w:ind w:left="432"/>
      </w:pPr>
    </w:p>
    <w:p w:rsidR="00F82D8D" w:rsidRDefault="00185930" w:rsidP="00E33048">
      <w:pPr>
        <w:pStyle w:val="Denisa"/>
        <w:jc w:val="both"/>
        <w:rPr>
          <w:rFonts w:asciiTheme="minorHAnsi" w:eastAsia="Times New Roman" w:hAnsiTheme="minorHAnsi" w:cs="Arial"/>
          <w:sz w:val="20"/>
          <w:szCs w:val="20"/>
          <w:lang w:eastAsia="cs-CZ"/>
        </w:rPr>
      </w:pPr>
      <w:bookmarkStart w:id="15" w:name="_Toc353261113"/>
      <w:bookmarkStart w:id="16" w:name="_Toc353265073"/>
      <w:r>
        <w:rPr>
          <w:rFonts w:asciiTheme="minorHAnsi" w:eastAsia="Times New Roman" w:hAnsiTheme="minorHAnsi" w:cs="Arial"/>
          <w:sz w:val="20"/>
          <w:szCs w:val="20"/>
          <w:lang w:eastAsia="cs-CZ"/>
        </w:rPr>
        <w:t>V roce 2019</w:t>
      </w:r>
      <w:r w:rsidR="00694C0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došlo k </w:t>
      </w:r>
      <w:r w:rsidR="007C1832">
        <w:rPr>
          <w:rFonts w:asciiTheme="minorHAnsi" w:eastAsia="Times New Roman" w:hAnsiTheme="minorHAnsi" w:cs="Arial"/>
          <w:sz w:val="20"/>
          <w:szCs w:val="20"/>
          <w:lang w:eastAsia="cs-CZ"/>
        </w:rPr>
        <w:t>nárůstu</w:t>
      </w:r>
      <w:r w:rsidR="00694C0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rozpočtu </w:t>
      </w:r>
      <w:r w:rsidR="007C1832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fakulty </w:t>
      </w:r>
      <w:r w:rsidR="00694C0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v položce základní dotace od MŠMT. </w:t>
      </w:r>
      <w:r w:rsidR="007C1832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Zároveň 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třetím</w:t>
      </w:r>
      <w:r w:rsidR="007C1832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rokem probíhala realizace projektů OP VVV</w:t>
      </w:r>
      <w:r w:rsidR="00404A90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ESPRO,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INFRA</w:t>
      </w:r>
      <w:r w:rsidR="00404A90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a DSP</w:t>
      </w:r>
      <w:r w:rsidR="007C1832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, která znamenala pro fakultu úsporu osobních nákladů a možnost zkvalitnění materiálně – technického vybavení fakulty. </w:t>
      </w:r>
      <w:r w:rsidR="00293285">
        <w:rPr>
          <w:rFonts w:asciiTheme="minorHAnsi" w:eastAsia="Times New Roman" w:hAnsiTheme="minorHAnsi" w:cs="Arial"/>
          <w:sz w:val="20"/>
          <w:szCs w:val="20"/>
          <w:lang w:eastAsia="cs-CZ"/>
        </w:rPr>
        <w:t>V dubnu 2019 byla zahájena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realizace dalšího projektu z evropských strukturálních fondů s názvem KAPR, ve kterém dochází k další úspoře zejména osobních nákladů. </w:t>
      </w:r>
    </w:p>
    <w:p w:rsidR="0044799B" w:rsidRDefault="00293285" w:rsidP="00E33048">
      <w:pPr>
        <w:pStyle w:val="Denisa"/>
        <w:jc w:val="both"/>
        <w:rPr>
          <w:rFonts w:asciiTheme="minorHAnsi" w:eastAsia="Times New Roman" w:hAnsiTheme="minorHAnsi" w:cs="Arial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sz w:val="20"/>
          <w:szCs w:val="20"/>
          <w:lang w:eastAsia="cs-CZ"/>
        </w:rPr>
        <w:t>Využití projektových zdrojů při úhradě nákladů fakulty a hospodárné chování</w:t>
      </w:r>
      <w:r w:rsidR="007C1832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umožnil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y</w:t>
      </w:r>
      <w:r w:rsidR="007C1832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vytvoření úspory v podobě fondu provozních prostředků ve výši </w:t>
      </w:r>
      <w:r w:rsidR="00F82D8D">
        <w:rPr>
          <w:rFonts w:asciiTheme="minorHAnsi" w:eastAsia="Times New Roman" w:hAnsiTheme="minorHAnsi" w:cs="Arial"/>
          <w:sz w:val="20"/>
          <w:szCs w:val="20"/>
          <w:lang w:eastAsia="cs-CZ"/>
        </w:rPr>
        <w:t>9 748</w:t>
      </w:r>
      <w:r w:rsidR="007C1832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tis. Kč. </w:t>
      </w:r>
      <w:r w:rsidR="00694C0C">
        <w:rPr>
          <w:rFonts w:asciiTheme="minorHAnsi" w:eastAsia="Times New Roman" w:hAnsiTheme="minorHAnsi" w:cs="Arial"/>
          <w:sz w:val="20"/>
          <w:szCs w:val="20"/>
          <w:lang w:eastAsia="cs-CZ"/>
        </w:rPr>
        <w:t>Nejvýznamnější nákladovou položkou rozpočtu byly m</w:t>
      </w:r>
      <w:r w:rsidR="0044799B">
        <w:rPr>
          <w:rFonts w:asciiTheme="minorHAnsi" w:eastAsia="Times New Roman" w:hAnsiTheme="minorHAnsi" w:cs="Arial"/>
          <w:sz w:val="20"/>
          <w:szCs w:val="20"/>
          <w:lang w:eastAsia="cs-CZ"/>
        </w:rPr>
        <w:t>zdové výdaje</w:t>
      </w:r>
      <w:r w:rsidR="00694C0C">
        <w:rPr>
          <w:rFonts w:asciiTheme="minorHAnsi" w:eastAsia="Times New Roman" w:hAnsiTheme="minorHAnsi" w:cs="Arial"/>
          <w:sz w:val="20"/>
          <w:szCs w:val="20"/>
          <w:lang w:eastAsia="cs-CZ"/>
        </w:rPr>
        <w:t>, které</w:t>
      </w:r>
      <w:r w:rsidR="0044799B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 w:rsidR="00266EF4">
        <w:rPr>
          <w:rFonts w:asciiTheme="minorHAnsi" w:eastAsia="Times New Roman" w:hAnsiTheme="minorHAnsi" w:cs="Arial"/>
          <w:sz w:val="20"/>
          <w:szCs w:val="20"/>
          <w:lang w:eastAsia="cs-CZ"/>
        </w:rPr>
        <w:t>tvořily</w:t>
      </w:r>
      <w:r w:rsidR="0044799B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téměř 5</w:t>
      </w:r>
      <w:r w:rsidR="00F82D8D">
        <w:rPr>
          <w:rFonts w:asciiTheme="minorHAnsi" w:eastAsia="Times New Roman" w:hAnsiTheme="minorHAnsi" w:cs="Arial"/>
          <w:sz w:val="20"/>
          <w:szCs w:val="20"/>
          <w:lang w:eastAsia="cs-CZ"/>
        </w:rPr>
        <w:t>3</w:t>
      </w:r>
      <w:r w:rsidR="0044799B">
        <w:rPr>
          <w:rFonts w:asciiTheme="minorHAnsi" w:eastAsia="Times New Roman" w:hAnsiTheme="minorHAnsi" w:cs="Arial"/>
          <w:sz w:val="20"/>
          <w:szCs w:val="20"/>
          <w:lang w:eastAsia="cs-CZ"/>
        </w:rPr>
        <w:t> % celkového rozpočtu. Druhou nejvýznamnější položkou</w:t>
      </w:r>
      <w:r w:rsidR="00266EF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(</w:t>
      </w:r>
      <w:r w:rsidR="00F82D8D">
        <w:rPr>
          <w:rFonts w:asciiTheme="minorHAnsi" w:eastAsia="Times New Roman" w:hAnsiTheme="minorHAnsi" w:cs="Arial"/>
          <w:sz w:val="20"/>
          <w:szCs w:val="20"/>
          <w:lang w:eastAsia="cs-CZ"/>
        </w:rPr>
        <w:t>20,46</w:t>
      </w:r>
      <w:r w:rsidR="00694C0C">
        <w:rPr>
          <w:rFonts w:asciiTheme="minorHAnsi" w:eastAsia="Times New Roman" w:hAnsiTheme="minorHAnsi" w:cs="Arial"/>
          <w:sz w:val="20"/>
          <w:szCs w:val="20"/>
          <w:lang w:eastAsia="cs-CZ"/>
        </w:rPr>
        <w:t> </w:t>
      </w:r>
      <w:r w:rsidR="00266EF4">
        <w:rPr>
          <w:rFonts w:asciiTheme="minorHAnsi" w:eastAsia="Times New Roman" w:hAnsiTheme="minorHAnsi" w:cs="Arial"/>
          <w:sz w:val="20"/>
          <w:szCs w:val="20"/>
          <w:lang w:eastAsia="cs-CZ"/>
        </w:rPr>
        <w:t>%</w:t>
      </w:r>
      <w:r w:rsidR="00694C0C">
        <w:rPr>
          <w:rFonts w:asciiTheme="minorHAnsi" w:eastAsia="Times New Roman" w:hAnsiTheme="minorHAnsi" w:cs="Arial"/>
          <w:sz w:val="20"/>
          <w:szCs w:val="20"/>
          <w:lang w:eastAsia="cs-CZ"/>
        </w:rPr>
        <w:t> </w:t>
      </w:r>
      <w:r w:rsidR="00266EF4">
        <w:rPr>
          <w:rFonts w:asciiTheme="minorHAnsi" w:eastAsia="Times New Roman" w:hAnsiTheme="minorHAnsi" w:cs="Arial"/>
          <w:sz w:val="20"/>
          <w:szCs w:val="20"/>
          <w:lang w:eastAsia="cs-CZ"/>
        </w:rPr>
        <w:t>celkových nákladů)</w:t>
      </w:r>
      <w:r w:rsidR="0044799B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byl příspěvek na celouniverzitní </w:t>
      </w:r>
      <w:r w:rsidR="00266EF4">
        <w:rPr>
          <w:rFonts w:asciiTheme="minorHAnsi" w:eastAsia="Times New Roman" w:hAnsiTheme="minorHAnsi" w:cs="Arial"/>
          <w:sz w:val="20"/>
          <w:szCs w:val="20"/>
          <w:lang w:eastAsia="cs-CZ"/>
        </w:rPr>
        <w:t>ná</w:t>
      </w:r>
      <w:r w:rsidR="0014778E">
        <w:rPr>
          <w:rFonts w:asciiTheme="minorHAnsi" w:eastAsia="Times New Roman" w:hAnsiTheme="minorHAnsi" w:cs="Arial"/>
          <w:sz w:val="20"/>
          <w:szCs w:val="20"/>
          <w:lang w:eastAsia="cs-CZ"/>
        </w:rPr>
        <w:t>klady, které vzrostly v poměru s</w:t>
      </w:r>
      <w:r w:rsidR="00266EF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 předchozím rokem o </w:t>
      </w:r>
      <w:r w:rsidR="00F82D8D">
        <w:rPr>
          <w:rFonts w:asciiTheme="minorHAnsi" w:eastAsia="Times New Roman" w:hAnsiTheme="minorHAnsi" w:cs="Arial"/>
          <w:sz w:val="20"/>
          <w:szCs w:val="20"/>
          <w:lang w:eastAsia="cs-CZ"/>
        </w:rPr>
        <w:t>24,4</w:t>
      </w:r>
      <w:r w:rsidR="00266EF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%. Trvale ovlivňuje náklady i podíl na provozních nákladech</w:t>
      </w:r>
      <w:r w:rsidR="00404A90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objektu</w:t>
      </w:r>
      <w:r w:rsidR="00266EF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Střední zdravotnické školy, zejména v položce energií a údržby. </w:t>
      </w:r>
      <w:r w:rsidR="00F82D8D">
        <w:rPr>
          <w:rFonts w:asciiTheme="minorHAnsi" w:eastAsia="Times New Roman" w:hAnsiTheme="minorHAnsi" w:cs="Arial"/>
          <w:sz w:val="20"/>
          <w:szCs w:val="20"/>
          <w:lang w:eastAsia="cs-CZ"/>
        </w:rPr>
        <w:t>Od 1. 1. 2020 vešel v platnost nový dodatek Dohody o hospodaření, který narovnává podíl fakulty na nákladech Střední zdravotnické školy Pardubice</w:t>
      </w:r>
      <w:r w:rsidR="00266EF4">
        <w:rPr>
          <w:rFonts w:asciiTheme="minorHAnsi" w:eastAsia="Times New Roman" w:hAnsiTheme="minorHAnsi" w:cs="Arial"/>
          <w:sz w:val="20"/>
          <w:szCs w:val="20"/>
          <w:lang w:eastAsia="cs-CZ"/>
        </w:rPr>
        <w:t>.</w:t>
      </w:r>
      <w:r w:rsidR="00F82D8D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Nový model respektuje princip hospodárnosti a transparentnosti nákladů.</w:t>
      </w:r>
      <w:r w:rsidR="00266EF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</w:p>
    <w:p w:rsidR="006753D4" w:rsidRPr="006753D4" w:rsidRDefault="006753D4" w:rsidP="00E33048">
      <w:pPr>
        <w:pStyle w:val="Denisa"/>
        <w:jc w:val="both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6753D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V následujících letech bude pro </w:t>
      </w:r>
      <w:r w:rsidR="004C34BF">
        <w:rPr>
          <w:rFonts w:asciiTheme="minorHAnsi" w:eastAsia="Times New Roman" w:hAnsiTheme="minorHAnsi" w:cs="Arial"/>
          <w:sz w:val="20"/>
          <w:szCs w:val="20"/>
          <w:lang w:eastAsia="cs-CZ"/>
        </w:rPr>
        <w:t>fakultu</w:t>
      </w:r>
      <w:r w:rsidRPr="006753D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prioritou</w:t>
      </w:r>
      <w:r w:rsidR="0014778E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v oblasti hospodaření zvýšení</w:t>
      </w:r>
      <w:r w:rsidRPr="006753D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podíl</w:t>
      </w:r>
      <w:r w:rsidR="0014778E">
        <w:rPr>
          <w:rFonts w:asciiTheme="minorHAnsi" w:eastAsia="Times New Roman" w:hAnsiTheme="minorHAnsi" w:cs="Arial"/>
          <w:sz w:val="20"/>
          <w:szCs w:val="20"/>
          <w:lang w:eastAsia="cs-CZ"/>
        </w:rPr>
        <w:t>u</w:t>
      </w:r>
      <w:r w:rsidRPr="006753D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účelových finančních prostředků, zejmén</w:t>
      </w:r>
      <w:r w:rsidR="0014778E">
        <w:rPr>
          <w:rFonts w:asciiTheme="minorHAnsi" w:eastAsia="Times New Roman" w:hAnsiTheme="minorHAnsi" w:cs="Arial"/>
          <w:sz w:val="20"/>
          <w:szCs w:val="20"/>
          <w:lang w:eastAsia="cs-CZ"/>
        </w:rPr>
        <w:t>a pak v oblasti vědecko-výzkumných projektů</w:t>
      </w:r>
      <w:r w:rsidRPr="006753D4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a projektů</w:t>
      </w:r>
      <w:r w:rsidR="00E33048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z operačních programů</w:t>
      </w:r>
      <w:r w:rsidRPr="006753D4">
        <w:rPr>
          <w:rFonts w:asciiTheme="minorHAnsi" w:eastAsia="Times New Roman" w:hAnsiTheme="minorHAnsi" w:cs="Arial"/>
          <w:sz w:val="20"/>
          <w:szCs w:val="20"/>
          <w:lang w:eastAsia="cs-CZ"/>
        </w:rPr>
        <w:t>.</w:t>
      </w:r>
      <w:r w:rsidR="00E33048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</w:p>
    <w:bookmarkEnd w:id="12"/>
    <w:bookmarkEnd w:id="13"/>
    <w:bookmarkEnd w:id="15"/>
    <w:bookmarkEnd w:id="16"/>
    <w:p w:rsidR="006753D4" w:rsidRDefault="006753D4">
      <w:pPr>
        <w:jc w:val="left"/>
        <w:rPr>
          <w:rFonts w:eastAsia="Times New Roman" w:cs="Arial"/>
          <w:szCs w:val="20"/>
          <w:lang w:val="x-none" w:eastAsia="x-none"/>
        </w:rPr>
      </w:pPr>
      <w:r>
        <w:rPr>
          <w:rFonts w:eastAsia="Times New Roman" w:cs="Arial"/>
          <w:szCs w:val="20"/>
          <w:lang w:val="x-none" w:eastAsia="x-none"/>
        </w:rPr>
        <w:br w:type="page"/>
      </w:r>
    </w:p>
    <w:p w:rsidR="00981AB4" w:rsidRPr="00981AB4" w:rsidRDefault="00981AB4" w:rsidP="00981AB4">
      <w:pPr>
        <w:spacing w:after="120" w:line="240" w:lineRule="auto"/>
        <w:rPr>
          <w:rFonts w:eastAsia="Times New Roman" w:cs="Arial"/>
          <w:szCs w:val="20"/>
          <w:lang w:val="x-none" w:eastAsia="x-none"/>
        </w:rPr>
      </w:pPr>
    </w:p>
    <w:p w:rsidR="00981AB4" w:rsidRDefault="00981AB4" w:rsidP="00981AB4">
      <w:pPr>
        <w:keepNext/>
        <w:spacing w:before="240" w:after="60" w:line="300" w:lineRule="atLeast"/>
        <w:outlineLvl w:val="1"/>
        <w:rPr>
          <w:rFonts w:eastAsia="Times New Roman" w:cs="Times New Roman"/>
          <w:bCs/>
          <w:iCs/>
          <w:szCs w:val="20"/>
          <w:lang w:eastAsia="x-none"/>
        </w:rPr>
      </w:pPr>
    </w:p>
    <w:p w:rsidR="006753D4" w:rsidRDefault="006753D4" w:rsidP="00981AB4">
      <w:pPr>
        <w:keepNext/>
        <w:spacing w:before="240" w:after="60" w:line="300" w:lineRule="atLeast"/>
        <w:outlineLvl w:val="1"/>
        <w:rPr>
          <w:rFonts w:eastAsia="Times New Roman" w:cs="Times New Roman"/>
          <w:bCs/>
          <w:iCs/>
          <w:szCs w:val="20"/>
          <w:lang w:eastAsia="x-none"/>
        </w:rPr>
      </w:pPr>
    </w:p>
    <w:p w:rsidR="006753D4" w:rsidRPr="00981AB4" w:rsidRDefault="006753D4" w:rsidP="00981AB4">
      <w:pPr>
        <w:keepNext/>
        <w:spacing w:before="240" w:after="60" w:line="300" w:lineRule="atLeast"/>
        <w:outlineLvl w:val="1"/>
        <w:rPr>
          <w:rFonts w:eastAsia="Times New Roman" w:cs="Times New Roman"/>
          <w:bCs/>
          <w:iCs/>
          <w:szCs w:val="20"/>
          <w:lang w:eastAsia="x-none"/>
        </w:rPr>
      </w:pPr>
    </w:p>
    <w:p w:rsidR="00981AB4" w:rsidRPr="00981AB4" w:rsidRDefault="00981AB4" w:rsidP="00981AB4">
      <w:pPr>
        <w:keepNext/>
        <w:spacing w:before="240" w:after="60" w:line="300" w:lineRule="atLeast"/>
        <w:outlineLvl w:val="1"/>
        <w:rPr>
          <w:rFonts w:eastAsia="Times New Roman" w:cs="Times New Roman"/>
          <w:bCs/>
          <w:iCs/>
          <w:szCs w:val="20"/>
          <w:lang w:eastAsia="x-none"/>
        </w:rPr>
      </w:pPr>
    </w:p>
    <w:p w:rsidR="00981AB4" w:rsidRPr="00981AB4" w:rsidRDefault="00981AB4" w:rsidP="00981AB4">
      <w:pPr>
        <w:keepNext/>
        <w:spacing w:before="240" w:after="60" w:line="300" w:lineRule="atLeast"/>
        <w:outlineLvl w:val="1"/>
        <w:rPr>
          <w:rFonts w:eastAsia="Times New Roman" w:cs="Times New Roman"/>
          <w:bCs/>
          <w:iCs/>
          <w:szCs w:val="20"/>
          <w:lang w:eastAsia="x-none"/>
        </w:rPr>
      </w:pPr>
    </w:p>
    <w:p w:rsidR="00981AB4" w:rsidRPr="00981AB4" w:rsidRDefault="00981AB4" w:rsidP="00981AB4">
      <w:pPr>
        <w:keepNext/>
        <w:spacing w:before="240" w:after="60" w:line="300" w:lineRule="atLeast"/>
        <w:outlineLvl w:val="1"/>
        <w:rPr>
          <w:rFonts w:eastAsia="Times New Roman" w:cs="Times New Roman"/>
          <w:bCs/>
          <w:iCs/>
          <w:szCs w:val="20"/>
          <w:lang w:eastAsia="x-none"/>
        </w:rPr>
      </w:pPr>
    </w:p>
    <w:p w:rsidR="00981AB4" w:rsidRPr="00981AB4" w:rsidRDefault="00981AB4" w:rsidP="00981AB4">
      <w:pPr>
        <w:keepNext/>
        <w:spacing w:before="240" w:after="60" w:line="300" w:lineRule="atLeast"/>
        <w:outlineLvl w:val="1"/>
        <w:rPr>
          <w:rFonts w:eastAsia="Times New Roman" w:cs="Times New Roman"/>
          <w:bCs/>
          <w:iCs/>
          <w:szCs w:val="20"/>
          <w:lang w:eastAsia="x-none"/>
        </w:rPr>
      </w:pPr>
    </w:p>
    <w:p w:rsidR="00981AB4" w:rsidRPr="00981AB4" w:rsidRDefault="00981AB4" w:rsidP="00981AB4">
      <w:pPr>
        <w:keepNext/>
        <w:spacing w:before="240" w:after="60" w:line="300" w:lineRule="atLeast"/>
        <w:outlineLvl w:val="1"/>
        <w:rPr>
          <w:rFonts w:eastAsia="Times New Roman" w:cs="Times New Roman"/>
          <w:bCs/>
          <w:iCs/>
          <w:szCs w:val="20"/>
          <w:lang w:eastAsia="x-none"/>
        </w:rPr>
      </w:pPr>
    </w:p>
    <w:p w:rsidR="00981AB4" w:rsidRPr="00981AB4" w:rsidRDefault="00981AB4" w:rsidP="00981AB4">
      <w:pPr>
        <w:keepNext/>
        <w:spacing w:before="240" w:after="60" w:line="300" w:lineRule="atLeast"/>
        <w:outlineLvl w:val="1"/>
        <w:rPr>
          <w:rFonts w:eastAsia="Times New Roman" w:cs="Times New Roman"/>
          <w:bCs/>
          <w:iCs/>
          <w:szCs w:val="20"/>
          <w:lang w:eastAsia="x-none"/>
        </w:rPr>
      </w:pPr>
    </w:p>
    <w:p w:rsidR="00981AB4" w:rsidRPr="00981AB4" w:rsidRDefault="00981AB4" w:rsidP="00981AB4">
      <w:pPr>
        <w:keepNext/>
        <w:spacing w:before="240" w:after="60" w:line="300" w:lineRule="atLeast"/>
        <w:outlineLvl w:val="1"/>
        <w:rPr>
          <w:rFonts w:eastAsia="Times New Roman" w:cs="Times New Roman"/>
          <w:bCs/>
          <w:iCs/>
          <w:szCs w:val="20"/>
          <w:lang w:eastAsia="x-none"/>
        </w:rPr>
      </w:pPr>
    </w:p>
    <w:p w:rsidR="00981AB4" w:rsidRPr="00981AB4" w:rsidRDefault="00981AB4" w:rsidP="00981AB4">
      <w:pPr>
        <w:keepNext/>
        <w:spacing w:before="240" w:after="60" w:line="300" w:lineRule="atLeast"/>
        <w:outlineLvl w:val="1"/>
        <w:rPr>
          <w:rFonts w:eastAsia="Times New Roman" w:cs="Times New Roman"/>
          <w:bCs/>
          <w:iCs/>
          <w:szCs w:val="20"/>
          <w:lang w:eastAsia="x-none"/>
        </w:rPr>
      </w:pPr>
    </w:p>
    <w:p w:rsidR="00981AB4" w:rsidRPr="00981AB4" w:rsidRDefault="00981AB4" w:rsidP="00981AB4">
      <w:pPr>
        <w:keepNext/>
        <w:spacing w:before="240" w:after="60" w:line="300" w:lineRule="atLeast"/>
        <w:outlineLvl w:val="1"/>
        <w:rPr>
          <w:rFonts w:eastAsia="Times New Roman" w:cs="Times New Roman"/>
          <w:bCs/>
          <w:iCs/>
          <w:szCs w:val="20"/>
          <w:lang w:eastAsia="x-none"/>
        </w:rPr>
      </w:pPr>
    </w:p>
    <w:p w:rsidR="00981AB4" w:rsidRPr="00981AB4" w:rsidRDefault="00981AB4" w:rsidP="00981AB4">
      <w:pPr>
        <w:keepNext/>
        <w:spacing w:before="240" w:after="60" w:line="300" w:lineRule="atLeast"/>
        <w:outlineLvl w:val="1"/>
        <w:rPr>
          <w:rFonts w:eastAsia="Times New Roman" w:cs="Times New Roman"/>
          <w:bCs/>
          <w:iCs/>
          <w:szCs w:val="20"/>
          <w:lang w:eastAsia="x-none"/>
        </w:rPr>
      </w:pPr>
    </w:p>
    <w:p w:rsidR="00981AB4" w:rsidRPr="00981AB4" w:rsidRDefault="00981AB4" w:rsidP="00981AB4">
      <w:pPr>
        <w:keepNext/>
        <w:spacing w:before="240" w:after="60" w:line="300" w:lineRule="atLeast"/>
        <w:outlineLvl w:val="1"/>
        <w:rPr>
          <w:rFonts w:eastAsia="Times New Roman" w:cs="Times New Roman"/>
          <w:bCs/>
          <w:iCs/>
          <w:szCs w:val="20"/>
          <w:lang w:eastAsia="x-none"/>
        </w:rPr>
      </w:pPr>
    </w:p>
    <w:p w:rsidR="00981AB4" w:rsidRPr="00981AB4" w:rsidRDefault="00981AB4" w:rsidP="00981AB4">
      <w:pPr>
        <w:keepNext/>
        <w:spacing w:before="240" w:after="60" w:line="300" w:lineRule="atLeast"/>
        <w:outlineLvl w:val="1"/>
        <w:rPr>
          <w:rFonts w:eastAsia="Times New Roman" w:cs="Times New Roman"/>
          <w:bCs/>
          <w:iCs/>
          <w:szCs w:val="20"/>
          <w:lang w:eastAsia="x-none"/>
        </w:rPr>
      </w:pPr>
    </w:p>
    <w:p w:rsidR="00981AB4" w:rsidRPr="00981AB4" w:rsidRDefault="00981AB4" w:rsidP="00981AB4">
      <w:pPr>
        <w:keepNext/>
        <w:spacing w:before="240" w:after="60" w:line="300" w:lineRule="atLeast"/>
        <w:outlineLvl w:val="1"/>
        <w:rPr>
          <w:rFonts w:eastAsia="Times New Roman" w:cs="Times New Roman"/>
          <w:bCs/>
          <w:iCs/>
          <w:szCs w:val="20"/>
          <w:lang w:eastAsia="x-none"/>
        </w:rPr>
      </w:pPr>
    </w:p>
    <w:p w:rsidR="00981AB4" w:rsidRPr="000F4865" w:rsidRDefault="00981AB4" w:rsidP="000F4865">
      <w:bookmarkStart w:id="17" w:name="_Toc352057242"/>
      <w:bookmarkStart w:id="18" w:name="_Toc352235989"/>
      <w:bookmarkStart w:id="19" w:name="_Toc353261194"/>
      <w:bookmarkStart w:id="20" w:name="_Toc353262089"/>
      <w:bookmarkStart w:id="21" w:name="_Toc353264866"/>
      <w:bookmarkStart w:id="22" w:name="_Toc353265154"/>
      <w:r w:rsidRPr="000F4865">
        <w:t xml:space="preserve">Výroční zpráva o </w:t>
      </w:r>
      <w:r w:rsidR="00F82D8D">
        <w:t xml:space="preserve">hospodaření </w:t>
      </w:r>
      <w:r w:rsidRPr="000F4865">
        <w:t>byla schválena Akademickým senátem Fakulty zdravotnických studií Univerzity Pardubice dne</w:t>
      </w:r>
      <w:r w:rsidR="00150DD7">
        <w:t xml:space="preserve"> </w:t>
      </w:r>
      <w:bookmarkEnd w:id="17"/>
      <w:bookmarkEnd w:id="18"/>
      <w:bookmarkEnd w:id="19"/>
      <w:bookmarkEnd w:id="20"/>
      <w:bookmarkEnd w:id="21"/>
      <w:bookmarkEnd w:id="22"/>
      <w:r w:rsidR="0094675F">
        <w:t>2. 4. 2020.</w:t>
      </w:r>
      <w:bookmarkStart w:id="23" w:name="_GoBack"/>
      <w:bookmarkEnd w:id="23"/>
    </w:p>
    <w:p w:rsidR="00981AB4" w:rsidRPr="000F4865" w:rsidRDefault="00981AB4" w:rsidP="000F4865">
      <w:bookmarkStart w:id="24" w:name="_Toc353261195"/>
      <w:bookmarkStart w:id="25" w:name="_Toc353262090"/>
      <w:bookmarkStart w:id="26" w:name="_Toc353264867"/>
      <w:bookmarkStart w:id="27" w:name="_Toc353265155"/>
    </w:p>
    <w:p w:rsidR="00981AB4" w:rsidRPr="000F4865" w:rsidRDefault="00981AB4" w:rsidP="000F4865">
      <w:r w:rsidRPr="000F4865">
        <w:t xml:space="preserve">Vydala: </w:t>
      </w:r>
      <w:r w:rsidR="006753D4">
        <w:tab/>
      </w:r>
      <w:r w:rsidR="006753D4">
        <w:tab/>
      </w:r>
      <w:r w:rsidRPr="000F4865">
        <w:t>Univerzita Pardubice, Fakulta zdravotnických studií</w:t>
      </w:r>
      <w:bookmarkEnd w:id="24"/>
      <w:bookmarkEnd w:id="25"/>
      <w:bookmarkEnd w:id="26"/>
      <w:bookmarkEnd w:id="27"/>
    </w:p>
    <w:p w:rsidR="00981AB4" w:rsidRPr="000F4865" w:rsidRDefault="00981AB4" w:rsidP="000F4865">
      <w:bookmarkStart w:id="28" w:name="_Toc353261196"/>
      <w:bookmarkStart w:id="29" w:name="_Toc353262091"/>
      <w:bookmarkStart w:id="30" w:name="_Toc353264868"/>
      <w:bookmarkStart w:id="31" w:name="_Toc353265156"/>
      <w:r w:rsidRPr="000F4865">
        <w:t xml:space="preserve">Adresa: </w:t>
      </w:r>
      <w:r w:rsidR="006753D4">
        <w:tab/>
      </w:r>
      <w:r w:rsidR="006753D4">
        <w:tab/>
      </w:r>
      <w:r w:rsidRPr="000F4865">
        <w:t>Univerzita Pardubice, Fakulta zdravotnických studií</w:t>
      </w:r>
      <w:bookmarkEnd w:id="28"/>
      <w:bookmarkEnd w:id="29"/>
      <w:bookmarkEnd w:id="30"/>
      <w:bookmarkEnd w:id="31"/>
    </w:p>
    <w:p w:rsidR="00981AB4" w:rsidRPr="000F4865" w:rsidRDefault="00981AB4" w:rsidP="000F4865">
      <w:r w:rsidRPr="000F4865">
        <w:tab/>
      </w:r>
      <w:bookmarkStart w:id="32" w:name="_Toc353261197"/>
      <w:bookmarkStart w:id="33" w:name="_Toc353262092"/>
      <w:bookmarkStart w:id="34" w:name="_Toc353264869"/>
      <w:bookmarkStart w:id="35" w:name="_Toc353265157"/>
      <w:r w:rsidR="006753D4">
        <w:tab/>
      </w:r>
      <w:r w:rsidRPr="000F4865">
        <w:t>Průmyslová 395, 532 10 Pardubice – Černá za Bory</w:t>
      </w:r>
      <w:bookmarkEnd w:id="32"/>
      <w:bookmarkEnd w:id="33"/>
      <w:bookmarkEnd w:id="34"/>
      <w:bookmarkEnd w:id="35"/>
    </w:p>
    <w:p w:rsidR="00981AB4" w:rsidRDefault="00981AB4" w:rsidP="000F4865">
      <w:r w:rsidRPr="000F4865">
        <w:tab/>
      </w:r>
      <w:bookmarkStart w:id="36" w:name="_Toc353261198"/>
      <w:bookmarkStart w:id="37" w:name="_Toc353262093"/>
      <w:bookmarkStart w:id="38" w:name="_Toc353264870"/>
      <w:bookmarkStart w:id="39" w:name="_Toc353265158"/>
      <w:r w:rsidR="006753D4">
        <w:tab/>
      </w:r>
      <w:hyperlink r:id="rId16" w:history="1">
        <w:r w:rsidR="006753D4" w:rsidRPr="006753D4">
          <w:t>http://www.upce.cz/fzs/</w:t>
        </w:r>
        <w:bookmarkEnd w:id="36"/>
        <w:bookmarkEnd w:id="37"/>
        <w:bookmarkEnd w:id="38"/>
        <w:bookmarkEnd w:id="39"/>
      </w:hyperlink>
    </w:p>
    <w:p w:rsidR="006753D4" w:rsidRPr="000F4865" w:rsidRDefault="00150DD7" w:rsidP="000F4865">
      <w:r>
        <w:t xml:space="preserve">Zpracovala: </w:t>
      </w:r>
      <w:r>
        <w:tab/>
      </w:r>
      <w:r w:rsidR="006753D4">
        <w:t xml:space="preserve"> Ing. </w:t>
      </w:r>
      <w:r>
        <w:t>Hana Theer Vítková</w:t>
      </w:r>
    </w:p>
    <w:p w:rsidR="004F3070" w:rsidRPr="000F4865" w:rsidRDefault="004F3070" w:rsidP="000F4865"/>
    <w:sectPr w:rsidR="004F3070" w:rsidRPr="000F4865" w:rsidSect="00C0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7F" w:rsidRDefault="0033367F" w:rsidP="00F231D7">
      <w:pPr>
        <w:spacing w:after="0" w:line="240" w:lineRule="auto"/>
      </w:pPr>
      <w:r>
        <w:separator/>
      </w:r>
    </w:p>
  </w:endnote>
  <w:endnote w:type="continuationSeparator" w:id="0">
    <w:p w:rsidR="0033367F" w:rsidRDefault="0033367F" w:rsidP="00F2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Gabriola"/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Gill Sans CE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29" w:rsidRPr="00023EE0" w:rsidRDefault="009C2029">
    <w:pPr>
      <w:pStyle w:val="Zpat"/>
      <w:rPr>
        <w:rFonts w:asciiTheme="minorHAnsi" w:hAnsiTheme="minorHAnsi"/>
        <w:lang w:val="cs-CZ"/>
      </w:rPr>
    </w:pPr>
    <w:r>
      <w:rPr>
        <w:rFonts w:asciiTheme="minorHAnsi" w:hAnsiTheme="minorHAnsi"/>
        <w:lang w:val="cs-CZ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29" w:rsidRPr="00023EE0" w:rsidRDefault="009C2029">
    <w:pPr>
      <w:pStyle w:val="Zpat"/>
      <w:rPr>
        <w:rFonts w:asciiTheme="minorHAnsi" w:hAnsiTheme="minorHAnsi"/>
        <w:lang w:val="cs-CZ"/>
      </w:rPr>
    </w:pPr>
    <w:r>
      <w:rPr>
        <w:rFonts w:asciiTheme="minorHAnsi" w:hAnsiTheme="minorHAnsi"/>
        <w:lang w:val="cs-CZ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29" w:rsidRDefault="009C202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29" w:rsidRPr="00023EE0" w:rsidRDefault="009C2029">
    <w:pPr>
      <w:pStyle w:val="Zpat"/>
      <w:rPr>
        <w:rFonts w:asciiTheme="minorHAnsi" w:hAnsiTheme="minorHAnsi"/>
        <w:lang w:val="cs-CZ"/>
      </w:rPr>
    </w:pPr>
    <w:r>
      <w:rPr>
        <w:rFonts w:asciiTheme="minorHAnsi" w:hAnsiTheme="minorHAnsi"/>
        <w:lang w:val="cs-CZ"/>
      </w:rPr>
      <w:tab/>
    </w:r>
    <w:r w:rsidRPr="00023EE0">
      <w:rPr>
        <w:rFonts w:asciiTheme="minorHAnsi" w:hAnsiTheme="minorHAnsi"/>
        <w:lang w:val="cs-CZ"/>
      </w:rPr>
      <w:t xml:space="preserve">Stránka </w:t>
    </w:r>
    <w:r w:rsidRPr="00023EE0">
      <w:rPr>
        <w:rFonts w:asciiTheme="minorHAnsi" w:hAnsiTheme="minorHAnsi"/>
        <w:b/>
      </w:rPr>
      <w:fldChar w:fldCharType="begin"/>
    </w:r>
    <w:r w:rsidRPr="00023EE0">
      <w:rPr>
        <w:rFonts w:asciiTheme="minorHAnsi" w:hAnsiTheme="minorHAnsi"/>
        <w:b/>
      </w:rPr>
      <w:instrText>PAGE  \* Arabic  \* MERGEFORMAT</w:instrText>
    </w:r>
    <w:r w:rsidRPr="00023EE0">
      <w:rPr>
        <w:rFonts w:asciiTheme="minorHAnsi" w:hAnsiTheme="minorHAnsi"/>
        <w:b/>
      </w:rPr>
      <w:fldChar w:fldCharType="separate"/>
    </w:r>
    <w:r w:rsidR="0094675F" w:rsidRPr="0094675F">
      <w:rPr>
        <w:rFonts w:asciiTheme="minorHAnsi" w:hAnsiTheme="minorHAnsi"/>
        <w:b/>
        <w:noProof/>
        <w:lang w:val="cs-CZ"/>
      </w:rPr>
      <w:t>23</w:t>
    </w:r>
    <w:r w:rsidRPr="00023EE0">
      <w:rPr>
        <w:rFonts w:asciiTheme="minorHAnsi" w:hAnsiTheme="minorHAnsi"/>
        <w:b/>
      </w:rPr>
      <w:fldChar w:fldCharType="end"/>
    </w:r>
    <w:r w:rsidRPr="00023EE0">
      <w:rPr>
        <w:rFonts w:asciiTheme="minorHAnsi" w:hAnsiTheme="minorHAnsi"/>
        <w:lang w:val="cs-CZ"/>
      </w:rPr>
      <w:t xml:space="preserve"> z </w:t>
    </w:r>
    <w:r w:rsidRPr="00023EE0">
      <w:rPr>
        <w:rFonts w:asciiTheme="minorHAnsi" w:hAnsiTheme="minorHAnsi"/>
        <w:b/>
      </w:rPr>
      <w:fldChar w:fldCharType="begin"/>
    </w:r>
    <w:r w:rsidRPr="00023EE0">
      <w:rPr>
        <w:rFonts w:asciiTheme="minorHAnsi" w:hAnsiTheme="minorHAnsi"/>
        <w:b/>
      </w:rPr>
      <w:instrText>NUMPAGES  \* Arabic  \* MERGEFORMAT</w:instrText>
    </w:r>
    <w:r w:rsidRPr="00023EE0">
      <w:rPr>
        <w:rFonts w:asciiTheme="minorHAnsi" w:hAnsiTheme="minorHAnsi"/>
        <w:b/>
      </w:rPr>
      <w:fldChar w:fldCharType="separate"/>
    </w:r>
    <w:r w:rsidR="0094675F" w:rsidRPr="0094675F">
      <w:rPr>
        <w:rFonts w:asciiTheme="minorHAnsi" w:hAnsiTheme="minorHAnsi"/>
        <w:b/>
        <w:noProof/>
        <w:lang w:val="cs-CZ"/>
      </w:rPr>
      <w:t>23</w:t>
    </w:r>
    <w:r w:rsidRPr="00023EE0">
      <w:rPr>
        <w:rFonts w:asciiTheme="minorHAnsi" w:hAnsiTheme="minorHAnsi"/>
        <w:b/>
      </w:rPr>
      <w:fldChar w:fldCharType="end"/>
    </w:r>
    <w:r>
      <w:rPr>
        <w:rFonts w:asciiTheme="minorHAnsi" w:hAnsiTheme="minorHAnsi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7F" w:rsidRDefault="0033367F" w:rsidP="00F231D7">
      <w:pPr>
        <w:spacing w:after="0" w:line="240" w:lineRule="auto"/>
      </w:pPr>
      <w:r>
        <w:separator/>
      </w:r>
    </w:p>
  </w:footnote>
  <w:footnote w:type="continuationSeparator" w:id="0">
    <w:p w:rsidR="0033367F" w:rsidRDefault="0033367F" w:rsidP="00F2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E6909A"/>
    <w:lvl w:ilvl="0">
      <w:numFmt w:val="bullet"/>
      <w:lvlText w:val="*"/>
      <w:lvlJc w:val="left"/>
    </w:lvl>
  </w:abstractNum>
  <w:abstractNum w:abstractNumId="1" w15:restartNumberingAfterBreak="0">
    <w:nsid w:val="04DF7D1F"/>
    <w:multiLevelType w:val="multilevel"/>
    <w:tmpl w:val="15C8D91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hint="default"/>
      </w:rPr>
    </w:lvl>
  </w:abstractNum>
  <w:abstractNum w:abstractNumId="2" w15:restartNumberingAfterBreak="0">
    <w:nsid w:val="080A0ABA"/>
    <w:multiLevelType w:val="hybridMultilevel"/>
    <w:tmpl w:val="F4143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6315A"/>
    <w:multiLevelType w:val="hybridMultilevel"/>
    <w:tmpl w:val="6AA26656"/>
    <w:lvl w:ilvl="0" w:tplc="85989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084C"/>
    <w:multiLevelType w:val="hybridMultilevel"/>
    <w:tmpl w:val="512C8FEC"/>
    <w:lvl w:ilvl="0" w:tplc="C0C61C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87F59"/>
    <w:multiLevelType w:val="multilevel"/>
    <w:tmpl w:val="5D3EB0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4F82B44"/>
    <w:multiLevelType w:val="hybridMultilevel"/>
    <w:tmpl w:val="CB285DBE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18947DC"/>
    <w:multiLevelType w:val="hybridMultilevel"/>
    <w:tmpl w:val="28FA7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133FF"/>
    <w:multiLevelType w:val="hybridMultilevel"/>
    <w:tmpl w:val="95D8FF9E"/>
    <w:lvl w:ilvl="0" w:tplc="4CE6909A">
      <w:start w:val="1"/>
      <w:numFmt w:val="bullet"/>
      <w:lvlText w:val="l"/>
      <w:lvlJc w:val="left"/>
      <w:pPr>
        <w:ind w:left="720" w:hanging="360"/>
      </w:pPr>
      <w:rPr>
        <w:rFonts w:ascii="ZapfDingbats" w:hAnsi="ZapfDingbats" w:hint="default"/>
        <w:color w:val="FF0D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7DCF"/>
    <w:multiLevelType w:val="hybridMultilevel"/>
    <w:tmpl w:val="A816E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C416E"/>
    <w:multiLevelType w:val="hybridMultilevel"/>
    <w:tmpl w:val="DECA90CE"/>
    <w:lvl w:ilvl="0" w:tplc="4CE6909A">
      <w:start w:val="1"/>
      <w:numFmt w:val="bullet"/>
      <w:lvlText w:val="l"/>
      <w:lvlJc w:val="left"/>
      <w:pPr>
        <w:ind w:left="720" w:hanging="360"/>
      </w:pPr>
      <w:rPr>
        <w:rFonts w:ascii="ZapfDingbats" w:hAnsi="ZapfDingbats" w:hint="default"/>
        <w:color w:val="FF0D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44A24"/>
    <w:multiLevelType w:val="hybridMultilevel"/>
    <w:tmpl w:val="EA404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A501C"/>
    <w:multiLevelType w:val="hybridMultilevel"/>
    <w:tmpl w:val="362A6754"/>
    <w:lvl w:ilvl="0" w:tplc="63D66E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8E27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2E7C27"/>
    <w:multiLevelType w:val="hybridMultilevel"/>
    <w:tmpl w:val="773CCA68"/>
    <w:lvl w:ilvl="0" w:tplc="6B5060A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CDD39C4"/>
    <w:multiLevelType w:val="hybridMultilevel"/>
    <w:tmpl w:val="953E1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0EC9"/>
    <w:multiLevelType w:val="hybridMultilevel"/>
    <w:tmpl w:val="BA002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96A66"/>
    <w:multiLevelType w:val="hybridMultilevel"/>
    <w:tmpl w:val="97923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D7F67"/>
    <w:multiLevelType w:val="hybridMultilevel"/>
    <w:tmpl w:val="DDAEE8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B90D11"/>
    <w:multiLevelType w:val="hybridMultilevel"/>
    <w:tmpl w:val="CB68F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54229"/>
    <w:multiLevelType w:val="hybridMultilevel"/>
    <w:tmpl w:val="B63CA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25565"/>
    <w:multiLevelType w:val="hybridMultilevel"/>
    <w:tmpl w:val="36909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775C6"/>
    <w:multiLevelType w:val="hybridMultilevel"/>
    <w:tmpl w:val="98F68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E458D"/>
    <w:multiLevelType w:val="hybridMultilevel"/>
    <w:tmpl w:val="3936483A"/>
    <w:lvl w:ilvl="0" w:tplc="4CE6909A">
      <w:start w:val="1"/>
      <w:numFmt w:val="bullet"/>
      <w:lvlText w:val="l"/>
      <w:lvlJc w:val="left"/>
      <w:pPr>
        <w:ind w:left="720" w:hanging="360"/>
      </w:pPr>
      <w:rPr>
        <w:rFonts w:ascii="ZapfDingbats" w:hAnsi="ZapfDingbats" w:hint="default"/>
        <w:color w:val="FF0D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51C1A"/>
    <w:multiLevelType w:val="hybridMultilevel"/>
    <w:tmpl w:val="9E7EE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67D1F"/>
    <w:multiLevelType w:val="hybridMultilevel"/>
    <w:tmpl w:val="3612E1E2"/>
    <w:lvl w:ilvl="0" w:tplc="1842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E347A"/>
    <w:multiLevelType w:val="hybridMultilevel"/>
    <w:tmpl w:val="10C8433C"/>
    <w:lvl w:ilvl="0" w:tplc="04050001">
      <w:start w:val="1"/>
      <w:numFmt w:val="bullet"/>
      <w:pStyle w:val="moni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denisa2a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76EC0"/>
    <w:multiLevelType w:val="hybridMultilevel"/>
    <w:tmpl w:val="704A4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17FDF"/>
    <w:multiLevelType w:val="hybridMultilevel"/>
    <w:tmpl w:val="CE3A2A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15BB1"/>
    <w:multiLevelType w:val="hybridMultilevel"/>
    <w:tmpl w:val="D52229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53E9C"/>
    <w:multiLevelType w:val="multilevel"/>
    <w:tmpl w:val="9ADC652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538" w:hanging="576"/>
      </w:pPr>
    </w:lvl>
    <w:lvl w:ilvl="2">
      <w:start w:val="1"/>
      <w:numFmt w:val="decimal"/>
      <w:pStyle w:val="Nadpis3"/>
      <w:lvlText w:val="%1.%2.%3"/>
      <w:lvlJc w:val="left"/>
      <w:pPr>
        <w:ind w:left="8517" w:hanging="720"/>
      </w:pPr>
      <w:rPr>
        <w:color w:val="0070C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B142B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145569"/>
    <w:multiLevelType w:val="multilevel"/>
    <w:tmpl w:val="3F0657F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21"/>
  </w:num>
  <w:num w:numId="5">
    <w:abstractNumId w:val="11"/>
  </w:num>
  <w:num w:numId="6">
    <w:abstractNumId w:val="27"/>
  </w:num>
  <w:num w:numId="7">
    <w:abstractNumId w:val="5"/>
  </w:num>
  <w:num w:numId="8">
    <w:abstractNumId w:val="8"/>
  </w:num>
  <w:num w:numId="9">
    <w:abstractNumId w:val="23"/>
  </w:num>
  <w:num w:numId="10">
    <w:abstractNumId w:val="10"/>
  </w:num>
  <w:num w:numId="11">
    <w:abstractNumId w:val="28"/>
  </w:num>
  <w:num w:numId="12">
    <w:abstractNumId w:val="3"/>
  </w:num>
  <w:num w:numId="13">
    <w:abstractNumId w:val="9"/>
  </w:num>
  <w:num w:numId="14">
    <w:abstractNumId w:val="2"/>
  </w:num>
  <w:num w:numId="15">
    <w:abstractNumId w:val="32"/>
  </w:num>
  <w:num w:numId="16">
    <w:abstractNumId w:val="1"/>
  </w:num>
  <w:num w:numId="17">
    <w:abstractNumId w:val="0"/>
    <w:lvlOverride w:ilvl="0">
      <w:lvl w:ilvl="0">
        <w:start w:val="1"/>
        <w:numFmt w:val="bullet"/>
        <w:lvlText w:val="l"/>
        <w:legacy w:legacy="1" w:legacySpace="0" w:legacyIndent="181"/>
        <w:lvlJc w:val="left"/>
        <w:pPr>
          <w:ind w:left="181" w:hanging="181"/>
        </w:pPr>
        <w:rPr>
          <w:rFonts w:ascii="ZapfDingbats" w:hAnsi="ZapfDingbats" w:hint="default"/>
          <w:color w:val="FF0D00"/>
          <w:sz w:val="18"/>
        </w:rPr>
      </w:lvl>
    </w:lvlOverride>
  </w:num>
  <w:num w:numId="18">
    <w:abstractNumId w:val="0"/>
    <w:lvlOverride w:ilvl="0">
      <w:lvl w:ilvl="0">
        <w:start w:val="1"/>
        <w:numFmt w:val="bullet"/>
        <w:lvlText w:val="l"/>
        <w:lvlJc w:val="left"/>
        <w:pPr>
          <w:ind w:left="720" w:hanging="360"/>
        </w:pPr>
        <w:rPr>
          <w:rFonts w:ascii="ZapfDingbats" w:hAnsi="ZapfDingbats" w:hint="default"/>
          <w:color w:val="FF0D00"/>
          <w:sz w:val="18"/>
        </w:rPr>
      </w:lvl>
    </w:lvlOverride>
  </w:num>
  <w:num w:numId="19">
    <w:abstractNumId w:val="15"/>
  </w:num>
  <w:num w:numId="20">
    <w:abstractNumId w:val="0"/>
    <w:lvlOverride w:ilvl="0">
      <w:lvl w:ilvl="0">
        <w:start w:val="1"/>
        <w:numFmt w:val="bullet"/>
        <w:lvlText w:val="–"/>
        <w:legacy w:legacy="1" w:legacySpace="0" w:legacyIndent="180"/>
        <w:lvlJc w:val="left"/>
        <w:pPr>
          <w:ind w:left="180" w:hanging="180"/>
        </w:pPr>
        <w:rPr>
          <w:rFonts w:ascii="Gill Sans CE" w:hAnsi="Gill Sans CE" w:hint="default"/>
          <w:color w:val="000000"/>
          <w:sz w:val="18"/>
        </w:rPr>
      </w:lvl>
    </w:lvlOverride>
  </w:num>
  <w:num w:numId="21">
    <w:abstractNumId w:val="24"/>
  </w:num>
  <w:num w:numId="22">
    <w:abstractNumId w:val="12"/>
  </w:num>
  <w:num w:numId="23">
    <w:abstractNumId w:val="4"/>
  </w:num>
  <w:num w:numId="24">
    <w:abstractNumId w:val="14"/>
  </w:num>
  <w:num w:numId="25">
    <w:abstractNumId w:val="25"/>
  </w:num>
  <w:num w:numId="26">
    <w:abstractNumId w:val="16"/>
  </w:num>
  <w:num w:numId="27">
    <w:abstractNumId w:val="17"/>
  </w:num>
  <w:num w:numId="28">
    <w:abstractNumId w:val="30"/>
  </w:num>
  <w:num w:numId="29">
    <w:abstractNumId w:val="30"/>
    <w:lvlOverride w:ilvl="0">
      <w:startOverride w:val="2"/>
    </w:lvlOverride>
  </w:num>
  <w:num w:numId="30">
    <w:abstractNumId w:val="22"/>
  </w:num>
  <w:num w:numId="31">
    <w:abstractNumId w:val="7"/>
  </w:num>
  <w:num w:numId="32">
    <w:abstractNumId w:val="20"/>
  </w:num>
  <w:num w:numId="33">
    <w:abstractNumId w:val="13"/>
  </w:num>
  <w:num w:numId="34">
    <w:abstractNumId w:val="31"/>
  </w:num>
  <w:num w:numId="35">
    <w:abstractNumId w:val="30"/>
  </w:num>
  <w:num w:numId="36">
    <w:abstractNumId w:val="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04"/>
    <w:rsid w:val="00001863"/>
    <w:rsid w:val="00007EFE"/>
    <w:rsid w:val="00010A21"/>
    <w:rsid w:val="00012EA4"/>
    <w:rsid w:val="00015B46"/>
    <w:rsid w:val="00016BA9"/>
    <w:rsid w:val="00020B97"/>
    <w:rsid w:val="00022ED3"/>
    <w:rsid w:val="00023EE0"/>
    <w:rsid w:val="0002515F"/>
    <w:rsid w:val="00027642"/>
    <w:rsid w:val="00050358"/>
    <w:rsid w:val="00060B9A"/>
    <w:rsid w:val="00061C78"/>
    <w:rsid w:val="000748C1"/>
    <w:rsid w:val="00090D4B"/>
    <w:rsid w:val="000B4979"/>
    <w:rsid w:val="000C2238"/>
    <w:rsid w:val="000C24C4"/>
    <w:rsid w:val="000C2E7A"/>
    <w:rsid w:val="000D1004"/>
    <w:rsid w:val="000D31B8"/>
    <w:rsid w:val="000D5817"/>
    <w:rsid w:val="000D5A47"/>
    <w:rsid w:val="000E2684"/>
    <w:rsid w:val="000E4F13"/>
    <w:rsid w:val="000F4567"/>
    <w:rsid w:val="000F4865"/>
    <w:rsid w:val="000F57E2"/>
    <w:rsid w:val="00113232"/>
    <w:rsid w:val="00113881"/>
    <w:rsid w:val="00123182"/>
    <w:rsid w:val="001308F0"/>
    <w:rsid w:val="001425E3"/>
    <w:rsid w:val="00144EE0"/>
    <w:rsid w:val="0014778E"/>
    <w:rsid w:val="00150635"/>
    <w:rsid w:val="00150DD7"/>
    <w:rsid w:val="00155C32"/>
    <w:rsid w:val="001674C3"/>
    <w:rsid w:val="00184704"/>
    <w:rsid w:val="00185930"/>
    <w:rsid w:val="00193215"/>
    <w:rsid w:val="001E1741"/>
    <w:rsid w:val="001E2C35"/>
    <w:rsid w:val="001E76A0"/>
    <w:rsid w:val="002000E2"/>
    <w:rsid w:val="00200581"/>
    <w:rsid w:val="00216F5A"/>
    <w:rsid w:val="002260CE"/>
    <w:rsid w:val="00227724"/>
    <w:rsid w:val="00231BC2"/>
    <w:rsid w:val="002376FD"/>
    <w:rsid w:val="00245422"/>
    <w:rsid w:val="0025111B"/>
    <w:rsid w:val="00266EF4"/>
    <w:rsid w:val="00280136"/>
    <w:rsid w:val="002817EF"/>
    <w:rsid w:val="00286641"/>
    <w:rsid w:val="00293285"/>
    <w:rsid w:val="00297357"/>
    <w:rsid w:val="002A3E60"/>
    <w:rsid w:val="002A597F"/>
    <w:rsid w:val="002B183C"/>
    <w:rsid w:val="002D52B0"/>
    <w:rsid w:val="002D66B9"/>
    <w:rsid w:val="002F20D5"/>
    <w:rsid w:val="002F3820"/>
    <w:rsid w:val="002F6F32"/>
    <w:rsid w:val="002F7574"/>
    <w:rsid w:val="00302BC8"/>
    <w:rsid w:val="003049AB"/>
    <w:rsid w:val="003104F5"/>
    <w:rsid w:val="0031463D"/>
    <w:rsid w:val="0031756C"/>
    <w:rsid w:val="00326656"/>
    <w:rsid w:val="00327A54"/>
    <w:rsid w:val="00327B18"/>
    <w:rsid w:val="0033367F"/>
    <w:rsid w:val="00342A74"/>
    <w:rsid w:val="00342D7B"/>
    <w:rsid w:val="00343A81"/>
    <w:rsid w:val="003457F0"/>
    <w:rsid w:val="00347A37"/>
    <w:rsid w:val="00350D1F"/>
    <w:rsid w:val="00381B57"/>
    <w:rsid w:val="003962FC"/>
    <w:rsid w:val="003A01BF"/>
    <w:rsid w:val="003A07B1"/>
    <w:rsid w:val="003C1A72"/>
    <w:rsid w:val="003C7E86"/>
    <w:rsid w:val="003E39C7"/>
    <w:rsid w:val="003E3A90"/>
    <w:rsid w:val="003F7539"/>
    <w:rsid w:val="0040425F"/>
    <w:rsid w:val="00404A90"/>
    <w:rsid w:val="00412044"/>
    <w:rsid w:val="00412A58"/>
    <w:rsid w:val="00412ED4"/>
    <w:rsid w:val="00423B3A"/>
    <w:rsid w:val="004342D8"/>
    <w:rsid w:val="00434C82"/>
    <w:rsid w:val="004358A4"/>
    <w:rsid w:val="004367C7"/>
    <w:rsid w:val="0044799B"/>
    <w:rsid w:val="00457F03"/>
    <w:rsid w:val="00475C61"/>
    <w:rsid w:val="00483D6A"/>
    <w:rsid w:val="004856E3"/>
    <w:rsid w:val="004922C1"/>
    <w:rsid w:val="00492B24"/>
    <w:rsid w:val="00493A97"/>
    <w:rsid w:val="004A63A6"/>
    <w:rsid w:val="004B73D1"/>
    <w:rsid w:val="004C34BF"/>
    <w:rsid w:val="004C5981"/>
    <w:rsid w:val="004E5A29"/>
    <w:rsid w:val="004F3070"/>
    <w:rsid w:val="004F7C12"/>
    <w:rsid w:val="00512FED"/>
    <w:rsid w:val="005203F6"/>
    <w:rsid w:val="00523216"/>
    <w:rsid w:val="005331D4"/>
    <w:rsid w:val="00536C27"/>
    <w:rsid w:val="0054066B"/>
    <w:rsid w:val="00555917"/>
    <w:rsid w:val="00560CBE"/>
    <w:rsid w:val="005651CD"/>
    <w:rsid w:val="00565E0F"/>
    <w:rsid w:val="00591196"/>
    <w:rsid w:val="005920A6"/>
    <w:rsid w:val="005924FF"/>
    <w:rsid w:val="005A2262"/>
    <w:rsid w:val="005B0615"/>
    <w:rsid w:val="005E0865"/>
    <w:rsid w:val="0060180F"/>
    <w:rsid w:val="00610E1E"/>
    <w:rsid w:val="00630694"/>
    <w:rsid w:val="006371D7"/>
    <w:rsid w:val="00644416"/>
    <w:rsid w:val="00657965"/>
    <w:rsid w:val="00657EAB"/>
    <w:rsid w:val="0067243D"/>
    <w:rsid w:val="006753D4"/>
    <w:rsid w:val="00680397"/>
    <w:rsid w:val="0069094F"/>
    <w:rsid w:val="00692C96"/>
    <w:rsid w:val="00694C0C"/>
    <w:rsid w:val="00694FD0"/>
    <w:rsid w:val="006961B6"/>
    <w:rsid w:val="006A412B"/>
    <w:rsid w:val="006C2725"/>
    <w:rsid w:val="006D598A"/>
    <w:rsid w:val="006D6522"/>
    <w:rsid w:val="006E2FCA"/>
    <w:rsid w:val="006E3697"/>
    <w:rsid w:val="006E728F"/>
    <w:rsid w:val="006F1A49"/>
    <w:rsid w:val="006F5C31"/>
    <w:rsid w:val="006F798E"/>
    <w:rsid w:val="006F7FA4"/>
    <w:rsid w:val="00713C57"/>
    <w:rsid w:val="007217FF"/>
    <w:rsid w:val="00726459"/>
    <w:rsid w:val="00737027"/>
    <w:rsid w:val="0075184E"/>
    <w:rsid w:val="00751F5A"/>
    <w:rsid w:val="00753251"/>
    <w:rsid w:val="00786A28"/>
    <w:rsid w:val="00792A7F"/>
    <w:rsid w:val="007A2461"/>
    <w:rsid w:val="007C02DC"/>
    <w:rsid w:val="007C0770"/>
    <w:rsid w:val="007C1832"/>
    <w:rsid w:val="007C4AC7"/>
    <w:rsid w:val="007D3984"/>
    <w:rsid w:val="007E41A7"/>
    <w:rsid w:val="0081113D"/>
    <w:rsid w:val="00824B1B"/>
    <w:rsid w:val="00833A88"/>
    <w:rsid w:val="00834571"/>
    <w:rsid w:val="008347B2"/>
    <w:rsid w:val="00836293"/>
    <w:rsid w:val="00843EED"/>
    <w:rsid w:val="00845C5E"/>
    <w:rsid w:val="00857564"/>
    <w:rsid w:val="00870C12"/>
    <w:rsid w:val="008827DF"/>
    <w:rsid w:val="008840BB"/>
    <w:rsid w:val="008C1713"/>
    <w:rsid w:val="008C266C"/>
    <w:rsid w:val="008D30BE"/>
    <w:rsid w:val="008E74D1"/>
    <w:rsid w:val="008F0D3C"/>
    <w:rsid w:val="00920D7B"/>
    <w:rsid w:val="00921DC0"/>
    <w:rsid w:val="00926070"/>
    <w:rsid w:val="0092662B"/>
    <w:rsid w:val="00940ED2"/>
    <w:rsid w:val="0094358B"/>
    <w:rsid w:val="0094675F"/>
    <w:rsid w:val="00980F6F"/>
    <w:rsid w:val="00981AB4"/>
    <w:rsid w:val="00986E01"/>
    <w:rsid w:val="009A3EB4"/>
    <w:rsid w:val="009A4C44"/>
    <w:rsid w:val="009B3139"/>
    <w:rsid w:val="009B4D28"/>
    <w:rsid w:val="009C2029"/>
    <w:rsid w:val="009C4F85"/>
    <w:rsid w:val="009D0DA4"/>
    <w:rsid w:val="009D26BE"/>
    <w:rsid w:val="009D7323"/>
    <w:rsid w:val="009E445A"/>
    <w:rsid w:val="009E69CA"/>
    <w:rsid w:val="009E6C77"/>
    <w:rsid w:val="009F1FA3"/>
    <w:rsid w:val="00A00710"/>
    <w:rsid w:val="00A3359F"/>
    <w:rsid w:val="00A34931"/>
    <w:rsid w:val="00A37B48"/>
    <w:rsid w:val="00A40A10"/>
    <w:rsid w:val="00A507A9"/>
    <w:rsid w:val="00A67529"/>
    <w:rsid w:val="00A7556E"/>
    <w:rsid w:val="00A8143A"/>
    <w:rsid w:val="00A86481"/>
    <w:rsid w:val="00A96D70"/>
    <w:rsid w:val="00AA4623"/>
    <w:rsid w:val="00AB095F"/>
    <w:rsid w:val="00AB49FE"/>
    <w:rsid w:val="00AB740A"/>
    <w:rsid w:val="00AC0F91"/>
    <w:rsid w:val="00AD003C"/>
    <w:rsid w:val="00AD7E5A"/>
    <w:rsid w:val="00AE04CF"/>
    <w:rsid w:val="00AE0C82"/>
    <w:rsid w:val="00AF3811"/>
    <w:rsid w:val="00AF7FA9"/>
    <w:rsid w:val="00B00893"/>
    <w:rsid w:val="00B254F8"/>
    <w:rsid w:val="00B25705"/>
    <w:rsid w:val="00B279F8"/>
    <w:rsid w:val="00B30E25"/>
    <w:rsid w:val="00B31CED"/>
    <w:rsid w:val="00B4085D"/>
    <w:rsid w:val="00B41B3E"/>
    <w:rsid w:val="00B42D06"/>
    <w:rsid w:val="00B472B2"/>
    <w:rsid w:val="00B50434"/>
    <w:rsid w:val="00B6103A"/>
    <w:rsid w:val="00B7784F"/>
    <w:rsid w:val="00B8552D"/>
    <w:rsid w:val="00B85AE7"/>
    <w:rsid w:val="00B90931"/>
    <w:rsid w:val="00B92956"/>
    <w:rsid w:val="00B96C33"/>
    <w:rsid w:val="00BA0738"/>
    <w:rsid w:val="00BA7051"/>
    <w:rsid w:val="00BB760A"/>
    <w:rsid w:val="00BC044C"/>
    <w:rsid w:val="00BC548F"/>
    <w:rsid w:val="00BD3FBE"/>
    <w:rsid w:val="00BF0CDF"/>
    <w:rsid w:val="00BF19B5"/>
    <w:rsid w:val="00C05CB1"/>
    <w:rsid w:val="00C15CBC"/>
    <w:rsid w:val="00C21418"/>
    <w:rsid w:val="00C21F7C"/>
    <w:rsid w:val="00C34C3A"/>
    <w:rsid w:val="00C71FC7"/>
    <w:rsid w:val="00C8185E"/>
    <w:rsid w:val="00C930F4"/>
    <w:rsid w:val="00C93FF4"/>
    <w:rsid w:val="00CC3F89"/>
    <w:rsid w:val="00CC6414"/>
    <w:rsid w:val="00CF4B74"/>
    <w:rsid w:val="00D12E95"/>
    <w:rsid w:val="00D41E84"/>
    <w:rsid w:val="00D51675"/>
    <w:rsid w:val="00D51D0D"/>
    <w:rsid w:val="00D64EB0"/>
    <w:rsid w:val="00D70F1A"/>
    <w:rsid w:val="00D7109C"/>
    <w:rsid w:val="00DA192C"/>
    <w:rsid w:val="00DC346D"/>
    <w:rsid w:val="00DC6832"/>
    <w:rsid w:val="00DD0966"/>
    <w:rsid w:val="00DE316F"/>
    <w:rsid w:val="00DE3A20"/>
    <w:rsid w:val="00DF15E3"/>
    <w:rsid w:val="00E24196"/>
    <w:rsid w:val="00E33048"/>
    <w:rsid w:val="00E40296"/>
    <w:rsid w:val="00E578DC"/>
    <w:rsid w:val="00E612E4"/>
    <w:rsid w:val="00E64C08"/>
    <w:rsid w:val="00E82289"/>
    <w:rsid w:val="00E8414D"/>
    <w:rsid w:val="00E85D96"/>
    <w:rsid w:val="00E969E9"/>
    <w:rsid w:val="00EA1E28"/>
    <w:rsid w:val="00EA6582"/>
    <w:rsid w:val="00EE677B"/>
    <w:rsid w:val="00EF4640"/>
    <w:rsid w:val="00F009A1"/>
    <w:rsid w:val="00F1271C"/>
    <w:rsid w:val="00F1339A"/>
    <w:rsid w:val="00F15C9E"/>
    <w:rsid w:val="00F22247"/>
    <w:rsid w:val="00F231D7"/>
    <w:rsid w:val="00F50CD1"/>
    <w:rsid w:val="00F53E59"/>
    <w:rsid w:val="00F6022F"/>
    <w:rsid w:val="00F619BE"/>
    <w:rsid w:val="00F64DCF"/>
    <w:rsid w:val="00F728F9"/>
    <w:rsid w:val="00F809D1"/>
    <w:rsid w:val="00F82D8D"/>
    <w:rsid w:val="00F92418"/>
    <w:rsid w:val="00FC13F8"/>
    <w:rsid w:val="00FD7309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AA476"/>
  <w15:docId w15:val="{D24782E5-667F-43CE-980A-75D64F67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9E9"/>
    <w:pPr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F7539"/>
    <w:pPr>
      <w:keepNext/>
      <w:pageBreakBefore/>
      <w:numPr>
        <w:numId w:val="28"/>
      </w:numPr>
      <w:pBdr>
        <w:bottom w:val="single" w:sz="18" w:space="1" w:color="C0C0C0"/>
      </w:pBdr>
      <w:spacing w:before="240" w:after="60" w:line="300" w:lineRule="atLeast"/>
      <w:outlineLvl w:val="0"/>
    </w:pPr>
    <w:rPr>
      <w:rFonts w:ascii="Times New Roman" w:eastAsia="Times New Roman" w:hAnsi="Times New Roman" w:cs="Arial"/>
      <w:b/>
      <w:bCs/>
      <w:caps/>
      <w:color w:val="0070C0"/>
      <w:kern w:val="32"/>
      <w:sz w:val="44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DE316F"/>
    <w:pPr>
      <w:keepNext/>
      <w:keepLines/>
      <w:numPr>
        <w:ilvl w:val="1"/>
        <w:numId w:val="28"/>
      </w:numPr>
      <w:spacing w:before="200" w:after="0"/>
      <w:ind w:left="567"/>
      <w:jc w:val="left"/>
      <w:outlineLvl w:val="1"/>
    </w:pPr>
    <w:rPr>
      <w:rFonts w:eastAsiaTheme="majorEastAsia" w:cstheme="majorBidi"/>
      <w:b/>
      <w:bCs/>
      <w:color w:val="0070C0"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560CBE"/>
    <w:pPr>
      <w:keepNext/>
      <w:numPr>
        <w:ilvl w:val="2"/>
        <w:numId w:val="28"/>
      </w:numPr>
      <w:spacing w:before="240" w:after="60" w:line="300" w:lineRule="atLeast"/>
      <w:ind w:left="720"/>
      <w:outlineLvl w:val="2"/>
    </w:pPr>
    <w:rPr>
      <w:rFonts w:eastAsia="Times New Roman" w:cs="Times New Roman"/>
      <w:bCs/>
      <w:color w:val="0070C0"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A7556E"/>
    <w:pPr>
      <w:keepNext/>
      <w:numPr>
        <w:ilvl w:val="3"/>
        <w:numId w:val="28"/>
      </w:numPr>
      <w:spacing w:before="240" w:after="60" w:line="30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A7556E"/>
    <w:pPr>
      <w:numPr>
        <w:ilvl w:val="4"/>
        <w:numId w:val="28"/>
      </w:numPr>
      <w:spacing w:before="240" w:after="60" w:line="30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A7556E"/>
    <w:pPr>
      <w:numPr>
        <w:ilvl w:val="5"/>
        <w:numId w:val="28"/>
      </w:numPr>
      <w:spacing w:before="240" w:after="60" w:line="300" w:lineRule="atLeast"/>
      <w:outlineLvl w:val="5"/>
    </w:pPr>
    <w:rPr>
      <w:rFonts w:ascii="Times New Roman" w:eastAsia="Times New Roman" w:hAnsi="Times New Roman" w:cs="Times New Roman"/>
      <w:b/>
      <w:bCs/>
      <w:sz w:val="22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A7556E"/>
    <w:pPr>
      <w:numPr>
        <w:ilvl w:val="6"/>
        <w:numId w:val="28"/>
      </w:numPr>
      <w:spacing w:before="240" w:after="60" w:line="300" w:lineRule="atLeast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A7556E"/>
    <w:pPr>
      <w:numPr>
        <w:ilvl w:val="7"/>
        <w:numId w:val="28"/>
      </w:numPr>
      <w:spacing w:before="240" w:after="60" w:line="300" w:lineRule="atLeas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A7556E"/>
    <w:pPr>
      <w:numPr>
        <w:ilvl w:val="8"/>
        <w:numId w:val="28"/>
      </w:numPr>
      <w:spacing w:before="240" w:after="60" w:line="300" w:lineRule="atLeast"/>
      <w:outlineLvl w:val="8"/>
    </w:pPr>
    <w:rPr>
      <w:rFonts w:ascii="Arial" w:eastAsia="Times New Roman" w:hAnsi="Arial" w:cs="Arial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autoRedefine/>
    <w:uiPriority w:val="10"/>
    <w:qFormat/>
    <w:rsid w:val="00560C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0C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60CBE"/>
    <w:rPr>
      <w:rFonts w:eastAsiaTheme="majorEastAsia" w:cstheme="majorBidi"/>
      <w:b/>
      <w:color w:val="0070C0"/>
      <w:spacing w:val="5"/>
      <w:kern w:val="28"/>
      <w:sz w:val="52"/>
      <w:szCs w:val="52"/>
    </w:rPr>
  </w:style>
  <w:style w:type="paragraph" w:styleId="Zkladntext">
    <w:name w:val="Body Text"/>
    <w:basedOn w:val="Normln"/>
    <w:link w:val="ZkladntextChar"/>
    <w:rsid w:val="00E969E9"/>
    <w:pPr>
      <w:spacing w:after="120" w:line="300" w:lineRule="atLeast"/>
    </w:pPr>
    <w:rPr>
      <w:rFonts w:ascii="Times New Roman" w:eastAsia="Times New Roman" w:hAnsi="Times New Roman" w:cs="Times New Roman"/>
      <w:sz w:val="2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969E9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monika2">
    <w:name w:val="monika 2"/>
    <w:basedOn w:val="Nadpis2"/>
    <w:next w:val="Nadpis2"/>
    <w:link w:val="monika2Char"/>
    <w:autoRedefine/>
    <w:qFormat/>
    <w:rsid w:val="00BC044C"/>
    <w:pPr>
      <w:keepLines w:val="0"/>
      <w:numPr>
        <w:ilvl w:val="0"/>
        <w:numId w:val="0"/>
      </w:numPr>
      <w:spacing w:before="240" w:after="60" w:line="300" w:lineRule="atLeast"/>
    </w:pPr>
    <w:rPr>
      <w:rFonts w:eastAsia="Times New Roman" w:cs="Times New Roman"/>
      <w:iCs/>
      <w:color w:val="auto"/>
      <w:sz w:val="28"/>
      <w:szCs w:val="28"/>
      <w:lang w:eastAsia="x-none"/>
    </w:rPr>
  </w:style>
  <w:style w:type="character" w:customStyle="1" w:styleId="monika2Char">
    <w:name w:val="monika 2 Char"/>
    <w:link w:val="monika2"/>
    <w:rsid w:val="00BC044C"/>
    <w:rPr>
      <w:rFonts w:eastAsia="Times New Roman" w:cs="Times New Roman"/>
      <w:b/>
      <w:bCs/>
      <w:iCs/>
      <w:sz w:val="28"/>
      <w:szCs w:val="28"/>
      <w:lang w:eastAsia="x-none"/>
    </w:rPr>
  </w:style>
  <w:style w:type="character" w:customStyle="1" w:styleId="Nadpis2Char">
    <w:name w:val="Nadpis 2 Char"/>
    <w:basedOn w:val="Standardnpsmoodstavce"/>
    <w:link w:val="Nadpis2"/>
    <w:rsid w:val="00DE316F"/>
    <w:rPr>
      <w:rFonts w:eastAsiaTheme="majorEastAsia" w:cstheme="majorBidi"/>
      <w:b/>
      <w:bCs/>
      <w:color w:val="0070C0"/>
      <w:sz w:val="32"/>
      <w:szCs w:val="26"/>
    </w:rPr>
  </w:style>
  <w:style w:type="paragraph" w:styleId="Odstavecseseznamem">
    <w:name w:val="List Paragraph"/>
    <w:basedOn w:val="Normln"/>
    <w:uiPriority w:val="34"/>
    <w:qFormat/>
    <w:rsid w:val="00BB76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F7539"/>
    <w:rPr>
      <w:rFonts w:ascii="Times New Roman" w:eastAsia="Times New Roman" w:hAnsi="Times New Roman" w:cs="Arial"/>
      <w:b/>
      <w:bCs/>
      <w:caps/>
      <w:color w:val="0070C0"/>
      <w:kern w:val="32"/>
      <w:sz w:val="4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60CBE"/>
    <w:rPr>
      <w:rFonts w:eastAsia="Times New Roman" w:cs="Times New Roman"/>
      <w:bCs/>
      <w:color w:val="0070C0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7556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7556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7556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A755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A7556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A7556E"/>
    <w:rPr>
      <w:rFonts w:ascii="Arial" w:eastAsia="Times New Roman" w:hAnsi="Arial" w:cs="Arial"/>
      <w:lang w:eastAsia="cs-CZ"/>
    </w:rPr>
  </w:style>
  <w:style w:type="paragraph" w:customStyle="1" w:styleId="monika3">
    <w:name w:val="monika 3"/>
    <w:basedOn w:val="Nadpis3"/>
    <w:rsid w:val="00A7556E"/>
    <w:pPr>
      <w:tabs>
        <w:tab w:val="num" w:pos="862"/>
      </w:tabs>
      <w:ind w:left="862"/>
    </w:pPr>
    <w:rPr>
      <w:rFonts w:ascii="Arial" w:hAnsi="Arial"/>
      <w:b/>
    </w:rPr>
  </w:style>
  <w:style w:type="character" w:styleId="Hypertextovodkaz">
    <w:name w:val="Hyperlink"/>
    <w:uiPriority w:val="99"/>
    <w:rsid w:val="00A7556E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A7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56E"/>
    <w:rPr>
      <w:rFonts w:ascii="Tahoma" w:hAnsi="Tahoma" w:cs="Tahoma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rsid w:val="00920D7B"/>
  </w:style>
  <w:style w:type="paragraph" w:styleId="Zhlav">
    <w:name w:val="header"/>
    <w:basedOn w:val="Normln"/>
    <w:link w:val="ZhlavChar"/>
    <w:rsid w:val="00920D7B"/>
    <w:pPr>
      <w:tabs>
        <w:tab w:val="center" w:pos="4536"/>
        <w:tab w:val="right" w:pos="9072"/>
      </w:tabs>
      <w:spacing w:after="120" w:line="300" w:lineRule="atLeast"/>
    </w:pPr>
    <w:rPr>
      <w:rFonts w:ascii="Times New Roman" w:eastAsia="Times New Roman" w:hAnsi="Times New Roman" w:cs="Times New Roman"/>
      <w:noProof/>
      <w:sz w:val="22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20D7B"/>
    <w:rPr>
      <w:rFonts w:ascii="Times New Roman" w:eastAsia="Times New Roman" w:hAnsi="Times New Roman" w:cs="Times New Roman"/>
      <w:noProof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0D7B"/>
    <w:pPr>
      <w:tabs>
        <w:tab w:val="center" w:pos="4536"/>
        <w:tab w:val="right" w:pos="9072"/>
      </w:tabs>
      <w:spacing w:after="120" w:line="300" w:lineRule="atLeast"/>
    </w:pPr>
    <w:rPr>
      <w:rFonts w:ascii="Times New Roman" w:eastAsia="Times New Roman" w:hAnsi="Times New Roman" w:cs="Times New Roman"/>
      <w:sz w:val="22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20D7B"/>
    <w:rPr>
      <w:rFonts w:ascii="Times New Roman" w:eastAsia="Times New Roman" w:hAnsi="Times New Roman" w:cs="Times New Roman"/>
      <w:szCs w:val="24"/>
      <w:lang w:val="x-none" w:eastAsia="x-none"/>
    </w:rPr>
  </w:style>
  <w:style w:type="character" w:styleId="slostrnky">
    <w:name w:val="page number"/>
    <w:basedOn w:val="Standardnpsmoodstavce"/>
    <w:rsid w:val="00920D7B"/>
  </w:style>
  <w:style w:type="paragraph" w:customStyle="1" w:styleId="a">
    <w:basedOn w:val="Normln"/>
    <w:next w:val="Rozloendokumentu"/>
    <w:rsid w:val="00920D7B"/>
    <w:pPr>
      <w:shd w:val="clear" w:color="auto" w:fill="000080"/>
      <w:spacing w:after="120" w:line="300" w:lineRule="atLeast"/>
    </w:pPr>
    <w:rPr>
      <w:rFonts w:ascii="Tahoma" w:eastAsia="Times New Roman" w:hAnsi="Tahoma" w:cs="Tahoma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20D7B"/>
    <w:pPr>
      <w:spacing w:after="120" w:line="300" w:lineRule="atLeast"/>
      <w:ind w:left="283"/>
    </w:pPr>
    <w:rPr>
      <w:rFonts w:ascii="Times New Roman" w:eastAsia="Times New Roman" w:hAnsi="Times New Roman" w:cs="Times New Roman"/>
      <w:sz w:val="22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20D7B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">
    <w:name w:val="Nadpis"/>
    <w:rsid w:val="00920D7B"/>
    <w:rPr>
      <w:rFonts w:ascii="Times New Roman" w:hAnsi="Times New Roman"/>
      <w:smallCaps/>
      <w:sz w:val="24"/>
      <w:szCs w:val="24"/>
    </w:rPr>
  </w:style>
  <w:style w:type="paragraph" w:styleId="Normlnweb">
    <w:name w:val="Normal (Web)"/>
    <w:basedOn w:val="Normln"/>
    <w:uiPriority w:val="99"/>
    <w:rsid w:val="0092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4bkapitlkyZarovnatdobloku">
    <w:name w:val="Styl 14 b. kapitálky Zarovnat do bloku"/>
    <w:basedOn w:val="Normln"/>
    <w:rsid w:val="00920D7B"/>
    <w:pPr>
      <w:spacing w:after="120" w:line="240" w:lineRule="auto"/>
    </w:pPr>
    <w:rPr>
      <w:rFonts w:ascii="Times New Roman" w:eastAsia="Times New Roman" w:hAnsi="Times New Roman" w:cs="Times New Roman"/>
      <w:b/>
      <w:smallCaps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20D7B"/>
    <w:pPr>
      <w:spacing w:after="120" w:line="3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20D7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ln4">
    <w:name w:val="Normální 4"/>
    <w:basedOn w:val="Normln"/>
    <w:rsid w:val="00920D7B"/>
    <w:pPr>
      <w:spacing w:after="120" w:line="240" w:lineRule="auto"/>
    </w:pPr>
    <w:rPr>
      <w:rFonts w:ascii="Garamond" w:eastAsia="Times New Roman" w:hAnsi="Garamond" w:cs="Times New Roman"/>
      <w:i/>
      <w:szCs w:val="20"/>
      <w:lang w:eastAsia="cs-CZ"/>
    </w:rPr>
  </w:style>
  <w:style w:type="paragraph" w:customStyle="1" w:styleId="Normln6">
    <w:name w:val="Normální 6"/>
    <w:basedOn w:val="Normln"/>
    <w:rsid w:val="00920D7B"/>
    <w:pPr>
      <w:spacing w:after="120" w:line="240" w:lineRule="auto"/>
      <w:jc w:val="center"/>
    </w:pPr>
    <w:rPr>
      <w:rFonts w:ascii="Garamond" w:eastAsia="Times New Roman" w:hAnsi="Garamond" w:cs="Times New Roman"/>
      <w:b/>
      <w:i/>
      <w:szCs w:val="20"/>
      <w:lang w:eastAsia="cs-CZ"/>
    </w:rPr>
  </w:style>
  <w:style w:type="paragraph" w:customStyle="1" w:styleId="Normln5">
    <w:name w:val="Normální 5"/>
    <w:basedOn w:val="Normln4"/>
    <w:rsid w:val="00920D7B"/>
    <w:pPr>
      <w:jc w:val="center"/>
    </w:pPr>
  </w:style>
  <w:style w:type="paragraph" w:styleId="Obsah1">
    <w:name w:val="toc 1"/>
    <w:basedOn w:val="Normln"/>
    <w:next w:val="Normln"/>
    <w:autoRedefine/>
    <w:uiPriority w:val="39"/>
    <w:qFormat/>
    <w:rsid w:val="00920D7B"/>
    <w:pPr>
      <w:spacing w:before="240" w:after="120" w:line="300" w:lineRule="atLeast"/>
      <w:jc w:val="left"/>
    </w:pPr>
    <w:rPr>
      <w:rFonts w:ascii="Calibri" w:eastAsia="Times New Roman" w:hAnsi="Calibri" w:cs="Calibri"/>
      <w:b/>
      <w:bCs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560CBE"/>
    <w:pPr>
      <w:tabs>
        <w:tab w:val="left" w:pos="880"/>
        <w:tab w:val="right" w:leader="dot" w:pos="9060"/>
      </w:tabs>
      <w:spacing w:before="120" w:after="0" w:line="300" w:lineRule="atLeast"/>
      <w:ind w:left="708" w:hanging="488"/>
      <w:jc w:val="left"/>
    </w:pPr>
    <w:rPr>
      <w:rFonts w:ascii="Calibri" w:eastAsia="Times New Roman" w:hAnsi="Calibri" w:cs="Calibri"/>
      <w:i/>
      <w:iCs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qFormat/>
    <w:rsid w:val="00920D7B"/>
    <w:pPr>
      <w:spacing w:after="0" w:line="300" w:lineRule="atLeast"/>
      <w:ind w:left="440"/>
      <w:jc w:val="left"/>
    </w:pPr>
    <w:rPr>
      <w:rFonts w:ascii="Calibri" w:eastAsia="Times New Roman" w:hAnsi="Calibri" w:cs="Calibri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rsid w:val="00920D7B"/>
    <w:pPr>
      <w:spacing w:after="0" w:line="300" w:lineRule="atLeast"/>
      <w:ind w:left="660"/>
      <w:jc w:val="left"/>
    </w:pPr>
    <w:rPr>
      <w:rFonts w:ascii="Calibri" w:eastAsia="Times New Roman" w:hAnsi="Calibri" w:cs="Calibri"/>
      <w:szCs w:val="20"/>
      <w:lang w:eastAsia="cs-CZ"/>
    </w:rPr>
  </w:style>
  <w:style w:type="character" w:styleId="Siln">
    <w:name w:val="Strong"/>
    <w:uiPriority w:val="22"/>
    <w:qFormat/>
    <w:rsid w:val="00920D7B"/>
    <w:rPr>
      <w:b/>
      <w:bCs/>
    </w:rPr>
  </w:style>
  <w:style w:type="character" w:customStyle="1" w:styleId="CharChar">
    <w:name w:val="Char Char"/>
    <w:rsid w:val="00920D7B"/>
    <w:rPr>
      <w:sz w:val="22"/>
      <w:szCs w:val="24"/>
    </w:rPr>
  </w:style>
  <w:style w:type="paragraph" w:styleId="Podnadpis">
    <w:name w:val="Subtitle"/>
    <w:basedOn w:val="Normln"/>
    <w:link w:val="PodnadpisChar"/>
    <w:qFormat/>
    <w:rsid w:val="00920D7B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920D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smenkov">
    <w:name w:val="Písmenkový"/>
    <w:rsid w:val="00920D7B"/>
    <w:pPr>
      <w:widowControl w:val="0"/>
      <w:spacing w:after="120" w:line="300" w:lineRule="atLeast"/>
      <w:ind w:left="568" w:hanging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ormlnIMP">
    <w:name w:val="Normální_IMP"/>
    <w:basedOn w:val="Normln"/>
    <w:rsid w:val="00920D7B"/>
    <w:pPr>
      <w:suppressAutoHyphens/>
      <w:overflowPunct w:val="0"/>
      <w:autoSpaceDE w:val="0"/>
      <w:autoSpaceDN w:val="0"/>
      <w:adjustRightInd w:val="0"/>
      <w:spacing w:after="120" w:line="22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920D7B"/>
    <w:pPr>
      <w:spacing w:after="0" w:line="300" w:lineRule="atLeast"/>
      <w:ind w:left="880"/>
      <w:jc w:val="left"/>
    </w:pPr>
    <w:rPr>
      <w:rFonts w:ascii="Calibri" w:eastAsia="Times New Roman" w:hAnsi="Calibri" w:cs="Calibri"/>
      <w:szCs w:val="20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20D7B"/>
    <w:pPr>
      <w:spacing w:after="0" w:line="300" w:lineRule="atLeast"/>
      <w:ind w:left="1100"/>
      <w:jc w:val="left"/>
    </w:pPr>
    <w:rPr>
      <w:rFonts w:ascii="Calibri" w:eastAsia="Times New Roman" w:hAnsi="Calibri" w:cs="Calibri"/>
      <w:szCs w:val="20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20D7B"/>
    <w:pPr>
      <w:spacing w:after="0" w:line="300" w:lineRule="atLeast"/>
      <w:ind w:left="1320"/>
      <w:jc w:val="left"/>
    </w:pPr>
    <w:rPr>
      <w:rFonts w:ascii="Calibri" w:eastAsia="Times New Roman" w:hAnsi="Calibri" w:cs="Calibri"/>
      <w:szCs w:val="20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20D7B"/>
    <w:pPr>
      <w:spacing w:after="0" w:line="300" w:lineRule="atLeast"/>
      <w:ind w:left="1540"/>
      <w:jc w:val="left"/>
    </w:pPr>
    <w:rPr>
      <w:rFonts w:ascii="Calibri" w:eastAsia="Times New Roman" w:hAnsi="Calibri" w:cs="Calibri"/>
      <w:szCs w:val="20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20D7B"/>
    <w:pPr>
      <w:spacing w:after="0" w:line="300" w:lineRule="atLeast"/>
      <w:ind w:left="1760"/>
      <w:jc w:val="left"/>
    </w:pPr>
    <w:rPr>
      <w:rFonts w:ascii="Calibri" w:eastAsia="Times New Roman" w:hAnsi="Calibri" w:cs="Calibri"/>
      <w:szCs w:val="20"/>
      <w:lang w:eastAsia="cs-CZ"/>
    </w:rPr>
  </w:style>
  <w:style w:type="character" w:customStyle="1" w:styleId="CharChar4">
    <w:name w:val="Char Char4"/>
    <w:rsid w:val="00920D7B"/>
    <w:rPr>
      <w:b/>
      <w:bCs/>
      <w:sz w:val="26"/>
      <w:szCs w:val="26"/>
    </w:rPr>
  </w:style>
  <w:style w:type="character" w:customStyle="1" w:styleId="CharChar3">
    <w:name w:val="Char Char3"/>
    <w:rsid w:val="00920D7B"/>
    <w:rPr>
      <w:sz w:val="22"/>
      <w:szCs w:val="24"/>
    </w:rPr>
  </w:style>
  <w:style w:type="character" w:customStyle="1" w:styleId="CharChar5">
    <w:name w:val="Char Char5"/>
    <w:rsid w:val="00920D7B"/>
    <w:rPr>
      <w:rFonts w:cs="Arial"/>
      <w:b/>
      <w:bCs/>
      <w:iCs/>
      <w:sz w:val="28"/>
      <w:szCs w:val="28"/>
    </w:rPr>
  </w:style>
  <w:style w:type="character" w:customStyle="1" w:styleId="CharChar2">
    <w:name w:val="Char Char2"/>
    <w:rsid w:val="00920D7B"/>
    <w:rPr>
      <w:sz w:val="24"/>
    </w:rPr>
  </w:style>
  <w:style w:type="character" w:styleId="Odkaznakoment">
    <w:name w:val="annotation reference"/>
    <w:uiPriority w:val="99"/>
    <w:semiHidden/>
    <w:rsid w:val="00920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20D7B"/>
    <w:pPr>
      <w:spacing w:after="120" w:line="300" w:lineRule="atLeas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harChar1">
    <w:name w:val="Char Char1"/>
    <w:basedOn w:val="Standardnpsmoodstavce"/>
    <w:rsid w:val="00920D7B"/>
  </w:style>
  <w:style w:type="character" w:customStyle="1" w:styleId="italic1">
    <w:name w:val="italic1"/>
    <w:rsid w:val="00920D7B"/>
    <w:rPr>
      <w:i/>
      <w:iCs/>
    </w:rPr>
  </w:style>
  <w:style w:type="paragraph" w:styleId="Zkladntext2">
    <w:name w:val="Body Text 2"/>
    <w:basedOn w:val="Normln"/>
    <w:link w:val="Zkladntext2Char"/>
    <w:rsid w:val="00920D7B"/>
    <w:pPr>
      <w:spacing w:after="120" w:line="300" w:lineRule="atLeast"/>
    </w:pPr>
    <w:rPr>
      <w:rFonts w:ascii="Times New Roman" w:eastAsia="Times New Roman" w:hAnsi="Times New Roman" w:cs="Times New Roman"/>
      <w:b/>
      <w:sz w:val="28"/>
      <w:szCs w:val="96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20D7B"/>
    <w:rPr>
      <w:rFonts w:ascii="Times New Roman" w:eastAsia="Times New Roman" w:hAnsi="Times New Roman" w:cs="Times New Roman"/>
      <w:b/>
      <w:sz w:val="28"/>
      <w:szCs w:val="9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0D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2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20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FNormal12">
    <w:name w:val="FNormal12"/>
    <w:basedOn w:val="Normln"/>
    <w:rsid w:val="00920D7B"/>
    <w:pPr>
      <w:suppressAutoHyphens/>
      <w:overflowPunct w:val="0"/>
      <w:autoSpaceDE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tabulky">
    <w:name w:val="Text tabulky"/>
    <w:basedOn w:val="Normln"/>
    <w:link w:val="TexttabulkyChar"/>
    <w:qFormat/>
    <w:rsid w:val="00920D7B"/>
    <w:pPr>
      <w:keepNext/>
      <w:spacing w:before="60" w:after="60" w:line="240" w:lineRule="auto"/>
      <w:jc w:val="left"/>
    </w:pPr>
    <w:rPr>
      <w:rFonts w:ascii="Gill Sans MT" w:eastAsia="Calibri" w:hAnsi="Gill Sans MT" w:cs="Times New Roman"/>
      <w:sz w:val="22"/>
      <w:lang w:val="x-none"/>
    </w:rPr>
  </w:style>
  <w:style w:type="character" w:customStyle="1" w:styleId="TexttabulkyChar">
    <w:name w:val="Text tabulky Char"/>
    <w:link w:val="Texttabulky"/>
    <w:rsid w:val="00920D7B"/>
    <w:rPr>
      <w:rFonts w:ascii="Gill Sans MT" w:eastAsia="Calibri" w:hAnsi="Gill Sans MT" w:cs="Times New Roman"/>
      <w:lang w:val="x-none"/>
    </w:rPr>
  </w:style>
  <w:style w:type="character" w:styleId="Zstupntext">
    <w:name w:val="Placeholder Text"/>
    <w:uiPriority w:val="99"/>
    <w:semiHidden/>
    <w:rsid w:val="00920D7B"/>
    <w:rPr>
      <w:color w:val="808080"/>
    </w:rPr>
  </w:style>
  <w:style w:type="character" w:customStyle="1" w:styleId="datalabel">
    <w:name w:val="datalabel"/>
    <w:basedOn w:val="Standardnpsmoodstavce"/>
    <w:rsid w:val="00920D7B"/>
  </w:style>
  <w:style w:type="paragraph" w:customStyle="1" w:styleId="monika1">
    <w:name w:val="monika 1"/>
    <w:basedOn w:val="Nadpis1"/>
    <w:link w:val="monika1Char"/>
    <w:autoRedefine/>
    <w:qFormat/>
    <w:rsid w:val="00680397"/>
    <w:pPr>
      <w:numPr>
        <w:numId w:val="1"/>
      </w:numPr>
      <w:ind w:left="426"/>
      <w:jc w:val="left"/>
    </w:pPr>
    <w:rPr>
      <w:rFonts w:ascii="Arial" w:hAnsi="Arial"/>
      <w:b w:val="0"/>
      <w:bCs w:val="0"/>
      <w:caps w:val="0"/>
      <w:sz w:val="36"/>
    </w:rPr>
  </w:style>
  <w:style w:type="paragraph" w:customStyle="1" w:styleId="denisa2a">
    <w:name w:val="denisa 2a"/>
    <w:basedOn w:val="Nadpis2"/>
    <w:rsid w:val="00920D7B"/>
    <w:pPr>
      <w:keepLines w:val="0"/>
      <w:pageBreakBefore/>
      <w:numPr>
        <w:numId w:val="1"/>
      </w:numPr>
      <w:spacing w:before="240" w:after="60" w:line="300" w:lineRule="atLeast"/>
      <w:ind w:left="578" w:hanging="578"/>
    </w:pPr>
    <w:rPr>
      <w:rFonts w:ascii="Times New Roman" w:eastAsia="Times New Roman" w:hAnsi="Times New Roman" w:cs="Times New Roman"/>
      <w:iCs/>
      <w:color w:val="auto"/>
      <w:sz w:val="28"/>
      <w:szCs w:val="28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qFormat/>
    <w:rsid w:val="00920D7B"/>
    <w:pPr>
      <w:keepLines/>
      <w:pageBreakBefore w:val="0"/>
      <w:pBdr>
        <w:bottom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tabulkaMSMT">
    <w:name w:val="tabulka MSMT"/>
    <w:uiPriority w:val="99"/>
    <w:rsid w:val="00920D7B"/>
    <w:pPr>
      <w:widowControl w:val="0"/>
      <w:autoSpaceDE w:val="0"/>
      <w:autoSpaceDN w:val="0"/>
      <w:adjustRightInd w:val="0"/>
      <w:spacing w:after="0" w:line="182" w:lineRule="atLeast"/>
    </w:pPr>
    <w:rPr>
      <w:rFonts w:ascii="Gill Sans CE" w:eastAsia="Times New Roman" w:hAnsi="Gill Sans CE" w:cs="Gill Sans CE"/>
      <w:sz w:val="16"/>
      <w:szCs w:val="16"/>
      <w:lang w:eastAsia="cs-CZ"/>
    </w:rPr>
  </w:style>
  <w:style w:type="paragraph" w:customStyle="1" w:styleId="poznamka-odsaz">
    <w:name w:val="poznamka-odsaz"/>
    <w:uiPriority w:val="99"/>
    <w:rsid w:val="00920D7B"/>
    <w:pPr>
      <w:widowControl w:val="0"/>
      <w:tabs>
        <w:tab w:val="left" w:pos="198"/>
      </w:tabs>
      <w:autoSpaceDE w:val="0"/>
      <w:autoSpaceDN w:val="0"/>
      <w:adjustRightInd w:val="0"/>
      <w:spacing w:after="0" w:line="182" w:lineRule="atLeast"/>
      <w:ind w:left="198" w:hanging="198"/>
      <w:jc w:val="both"/>
    </w:pPr>
    <w:rPr>
      <w:rFonts w:ascii="Gill Sans CE" w:eastAsia="Times New Roman" w:hAnsi="Gill Sans CE" w:cs="Gill Sans CE"/>
      <w:sz w:val="16"/>
      <w:szCs w:val="16"/>
      <w:lang w:eastAsia="cs-CZ"/>
    </w:rPr>
  </w:style>
  <w:style w:type="paragraph" w:customStyle="1" w:styleId="TableText">
    <w:name w:val="Table Text"/>
    <w:uiPriority w:val="99"/>
    <w:rsid w:val="00920D7B"/>
    <w:pPr>
      <w:widowControl w:val="0"/>
      <w:tabs>
        <w:tab w:val="left" w:pos="510"/>
        <w:tab w:val="left" w:pos="992"/>
      </w:tabs>
      <w:autoSpaceDE w:val="0"/>
      <w:autoSpaceDN w:val="0"/>
      <w:adjustRightInd w:val="0"/>
      <w:spacing w:before="50" w:after="0" w:line="180" w:lineRule="atLeast"/>
      <w:ind w:left="40" w:right="40"/>
    </w:pPr>
    <w:rPr>
      <w:rFonts w:ascii="Gill Sans CE" w:eastAsia="Times New Roman" w:hAnsi="Gill Sans CE" w:cs="Gill Sans CE"/>
      <w:sz w:val="16"/>
      <w:szCs w:val="16"/>
      <w:lang w:eastAsia="cs-CZ"/>
    </w:rPr>
  </w:style>
  <w:style w:type="paragraph" w:customStyle="1" w:styleId="nadpis11">
    <w:name w:val="nadpis 1.1"/>
    <w:uiPriority w:val="99"/>
    <w:rsid w:val="00920D7B"/>
    <w:pPr>
      <w:keepNext/>
      <w:widowControl w:val="0"/>
      <w:tabs>
        <w:tab w:val="left" w:pos="567"/>
      </w:tabs>
      <w:autoSpaceDE w:val="0"/>
      <w:autoSpaceDN w:val="0"/>
      <w:adjustRightInd w:val="0"/>
      <w:spacing w:before="160" w:after="600" w:line="360" w:lineRule="atLeast"/>
      <w:ind w:left="567" w:hanging="567"/>
    </w:pPr>
    <w:rPr>
      <w:rFonts w:ascii="Gill Sans CE" w:eastAsia="Times New Roman" w:hAnsi="Gill Sans CE" w:cs="Gill Sans CE"/>
      <w:b/>
      <w:bCs/>
      <w:color w:val="FF0D00"/>
      <w:sz w:val="32"/>
      <w:szCs w:val="32"/>
      <w:lang w:eastAsia="cs-CZ"/>
    </w:rPr>
  </w:style>
  <w:style w:type="paragraph" w:customStyle="1" w:styleId="TableTextbl">
    <w:name w:val="Table Text bílá"/>
    <w:uiPriority w:val="99"/>
    <w:rsid w:val="00920D7B"/>
    <w:pPr>
      <w:widowControl w:val="0"/>
      <w:autoSpaceDE w:val="0"/>
      <w:autoSpaceDN w:val="0"/>
      <w:adjustRightInd w:val="0"/>
      <w:spacing w:before="50" w:after="0" w:line="180" w:lineRule="atLeast"/>
      <w:ind w:left="40" w:right="40"/>
    </w:pPr>
    <w:rPr>
      <w:rFonts w:ascii="Gill Sans CE" w:eastAsia="Times New Roman" w:hAnsi="Gill Sans CE" w:cs="Gill Sans CE"/>
      <w:color w:val="FFFFFF"/>
      <w:sz w:val="16"/>
      <w:szCs w:val="16"/>
      <w:lang w:eastAsia="cs-CZ"/>
    </w:rPr>
  </w:style>
  <w:style w:type="paragraph" w:customStyle="1" w:styleId="TableTextcentr">
    <w:name w:val="Table Text centr"/>
    <w:uiPriority w:val="99"/>
    <w:rsid w:val="00920D7B"/>
    <w:pPr>
      <w:widowControl w:val="0"/>
      <w:autoSpaceDE w:val="0"/>
      <w:autoSpaceDN w:val="0"/>
      <w:adjustRightInd w:val="0"/>
      <w:spacing w:before="50" w:after="0" w:line="180" w:lineRule="atLeast"/>
      <w:ind w:left="28" w:right="28"/>
      <w:jc w:val="center"/>
    </w:pPr>
    <w:rPr>
      <w:rFonts w:ascii="Gill Sans CE" w:eastAsia="Times New Roman" w:hAnsi="Gill Sans CE" w:cs="Gill Sans CE"/>
      <w:sz w:val="16"/>
      <w:szCs w:val="16"/>
      <w:lang w:eastAsia="cs-CZ"/>
    </w:rPr>
  </w:style>
  <w:style w:type="paragraph" w:customStyle="1" w:styleId="TableTextblRight">
    <w:name w:val="Table Text bílá Right"/>
    <w:uiPriority w:val="99"/>
    <w:rsid w:val="00920D7B"/>
    <w:pPr>
      <w:widowControl w:val="0"/>
      <w:autoSpaceDE w:val="0"/>
      <w:autoSpaceDN w:val="0"/>
      <w:adjustRightInd w:val="0"/>
      <w:spacing w:before="50" w:after="0" w:line="180" w:lineRule="atLeast"/>
      <w:ind w:left="40" w:right="170"/>
      <w:jc w:val="right"/>
    </w:pPr>
    <w:rPr>
      <w:rFonts w:ascii="Gill Sans CE" w:eastAsia="Times New Roman" w:hAnsi="Gill Sans CE" w:cs="Gill Sans CE"/>
      <w:color w:val="FFFFFF"/>
      <w:sz w:val="16"/>
      <w:szCs w:val="16"/>
      <w:lang w:eastAsia="cs-CZ"/>
    </w:rPr>
  </w:style>
  <w:style w:type="paragraph" w:customStyle="1" w:styleId="nadpis111">
    <w:name w:val="nadpis1.1.1."/>
    <w:uiPriority w:val="99"/>
    <w:rsid w:val="00920D7B"/>
    <w:pPr>
      <w:widowControl w:val="0"/>
      <w:tabs>
        <w:tab w:val="left" w:pos="567"/>
      </w:tabs>
      <w:autoSpaceDE w:val="0"/>
      <w:autoSpaceDN w:val="0"/>
      <w:adjustRightInd w:val="0"/>
      <w:spacing w:before="20" w:after="300" w:line="290" w:lineRule="atLeast"/>
      <w:ind w:left="567" w:hanging="567"/>
    </w:pPr>
    <w:rPr>
      <w:rFonts w:ascii="Gill Sans CE" w:eastAsia="Times New Roman" w:hAnsi="Gill Sans CE" w:cs="Gill Sans CE"/>
      <w:color w:val="FF0D00"/>
      <w:sz w:val="26"/>
      <w:szCs w:val="26"/>
      <w:lang w:eastAsia="cs-CZ"/>
    </w:rPr>
  </w:style>
  <w:style w:type="paragraph" w:customStyle="1" w:styleId="TableTextRight">
    <w:name w:val="Table Text Right"/>
    <w:uiPriority w:val="99"/>
    <w:rsid w:val="00920D7B"/>
    <w:pPr>
      <w:widowControl w:val="0"/>
      <w:tabs>
        <w:tab w:val="left" w:pos="510"/>
        <w:tab w:val="left" w:pos="992"/>
      </w:tabs>
      <w:autoSpaceDE w:val="0"/>
      <w:autoSpaceDN w:val="0"/>
      <w:adjustRightInd w:val="0"/>
      <w:spacing w:before="50" w:after="0" w:line="180" w:lineRule="atLeast"/>
      <w:ind w:left="40" w:right="40"/>
      <w:jc w:val="right"/>
    </w:pPr>
    <w:rPr>
      <w:rFonts w:ascii="Gill Sans CE" w:eastAsia="Times New Roman" w:hAnsi="Gill Sans CE" w:cs="Gill Sans CE"/>
      <w:sz w:val="16"/>
      <w:szCs w:val="16"/>
      <w:lang w:eastAsia="cs-CZ"/>
    </w:rPr>
  </w:style>
  <w:style w:type="paragraph" w:customStyle="1" w:styleId="break">
    <w:name w:val="break"/>
    <w:uiPriority w:val="99"/>
    <w:rsid w:val="00920D7B"/>
    <w:pPr>
      <w:widowControl w:val="0"/>
      <w:autoSpaceDE w:val="0"/>
      <w:autoSpaceDN w:val="0"/>
      <w:adjustRightInd w:val="0"/>
      <w:spacing w:after="0" w:line="116" w:lineRule="atLeast"/>
      <w:jc w:val="both"/>
    </w:pPr>
    <w:rPr>
      <w:rFonts w:ascii="Gill Sans CE" w:eastAsia="Times New Roman" w:hAnsi="Gill Sans CE" w:cs="Gill Sans CE"/>
      <w:color w:val="99FFFF"/>
      <w:sz w:val="8"/>
      <w:szCs w:val="8"/>
      <w:lang w:eastAsia="cs-CZ"/>
    </w:rPr>
  </w:style>
  <w:style w:type="paragraph" w:customStyle="1" w:styleId="BodyText-4b">
    <w:name w:val="Body Text-4b"/>
    <w:uiPriority w:val="99"/>
    <w:rsid w:val="00920D7B"/>
    <w:pPr>
      <w:widowControl w:val="0"/>
      <w:autoSpaceDE w:val="0"/>
      <w:autoSpaceDN w:val="0"/>
      <w:adjustRightInd w:val="0"/>
      <w:spacing w:after="0" w:line="80" w:lineRule="atLeast"/>
    </w:pPr>
    <w:rPr>
      <w:rFonts w:ascii="Gill Sans CE" w:eastAsia="Times New Roman" w:hAnsi="Gill Sans CE" w:cs="Gill Sans CE"/>
      <w:sz w:val="8"/>
      <w:szCs w:val="8"/>
      <w:lang w:eastAsia="cs-CZ"/>
    </w:rPr>
  </w:style>
  <w:style w:type="paragraph" w:customStyle="1" w:styleId="nadpis111-pod-nic">
    <w:name w:val="nadpis1.1.1.-pod-nic"/>
    <w:uiPriority w:val="99"/>
    <w:rsid w:val="00920D7B"/>
    <w:pPr>
      <w:widowControl w:val="0"/>
      <w:tabs>
        <w:tab w:val="left" w:pos="567"/>
      </w:tabs>
      <w:autoSpaceDE w:val="0"/>
      <w:autoSpaceDN w:val="0"/>
      <w:adjustRightInd w:val="0"/>
      <w:spacing w:before="20" w:after="300" w:line="290" w:lineRule="atLeast"/>
    </w:pPr>
    <w:rPr>
      <w:rFonts w:ascii="Gill Sans CE" w:eastAsia="Times New Roman" w:hAnsi="Gill Sans CE" w:cs="Gill Sans CE"/>
      <w:color w:val="FF0D00"/>
      <w:sz w:val="26"/>
      <w:szCs w:val="26"/>
      <w:lang w:eastAsia="cs-CZ"/>
    </w:rPr>
  </w:style>
  <w:style w:type="paragraph" w:customStyle="1" w:styleId="TableTextbl-centr">
    <w:name w:val="Table Text bílá-centr"/>
    <w:uiPriority w:val="99"/>
    <w:rsid w:val="00920D7B"/>
    <w:pPr>
      <w:widowControl w:val="0"/>
      <w:autoSpaceDE w:val="0"/>
      <w:autoSpaceDN w:val="0"/>
      <w:adjustRightInd w:val="0"/>
      <w:spacing w:before="50" w:after="0" w:line="180" w:lineRule="atLeast"/>
      <w:ind w:left="40" w:right="40"/>
      <w:jc w:val="center"/>
    </w:pPr>
    <w:rPr>
      <w:rFonts w:ascii="Gill Sans CE" w:eastAsia="Times New Roman" w:hAnsi="Gill Sans CE" w:cs="Gill Sans CE"/>
      <w:color w:val="FFFFFF"/>
      <w:sz w:val="16"/>
      <w:szCs w:val="16"/>
      <w:lang w:eastAsia="cs-CZ"/>
    </w:rPr>
  </w:style>
  <w:style w:type="paragraph" w:customStyle="1" w:styleId="denisa2">
    <w:name w:val="denisa 2"/>
    <w:basedOn w:val="Nadpis2"/>
    <w:rsid w:val="00920D7B"/>
    <w:pPr>
      <w:keepLines w:val="0"/>
      <w:tabs>
        <w:tab w:val="num" w:pos="718"/>
      </w:tabs>
      <w:spacing w:before="240" w:after="60" w:line="300" w:lineRule="atLeast"/>
    </w:pPr>
    <w:rPr>
      <w:rFonts w:ascii="Times New Roman" w:eastAsia="Times New Roman" w:hAnsi="Times New Roman" w:cs="Times New Roman"/>
      <w:iCs/>
      <w:color w:val="auto"/>
      <w:sz w:val="28"/>
      <w:szCs w:val="28"/>
      <w:lang w:val="x-none" w:eastAsia="x-none"/>
    </w:rPr>
  </w:style>
  <w:style w:type="paragraph" w:customStyle="1" w:styleId="nadpis11-ponic">
    <w:name w:val="nadpis 1.1-po nic"/>
    <w:uiPriority w:val="99"/>
    <w:rsid w:val="00920D7B"/>
    <w:pPr>
      <w:keepNext/>
      <w:widowControl w:val="0"/>
      <w:tabs>
        <w:tab w:val="left" w:pos="567"/>
      </w:tabs>
      <w:autoSpaceDE w:val="0"/>
      <w:autoSpaceDN w:val="0"/>
      <w:spacing w:before="80" w:after="500" w:line="360" w:lineRule="atLeast"/>
      <w:ind w:left="567" w:hanging="567"/>
    </w:pPr>
    <w:rPr>
      <w:rFonts w:ascii="Gill Sans CE" w:eastAsia="Times New Roman" w:hAnsi="Gill Sans CE" w:cs="Gill Sans CE"/>
      <w:b/>
      <w:bCs/>
      <w:color w:val="FF0000"/>
      <w:sz w:val="32"/>
      <w:szCs w:val="32"/>
      <w:lang w:eastAsia="cs-CZ"/>
    </w:rPr>
  </w:style>
  <w:style w:type="paragraph" w:customStyle="1" w:styleId="TableTextRight-02">
    <w:name w:val="Table Text Right-02"/>
    <w:uiPriority w:val="99"/>
    <w:rsid w:val="00920D7B"/>
    <w:pPr>
      <w:widowControl w:val="0"/>
      <w:tabs>
        <w:tab w:val="left" w:pos="510"/>
        <w:tab w:val="left" w:pos="992"/>
      </w:tabs>
      <w:autoSpaceDE w:val="0"/>
      <w:autoSpaceDN w:val="0"/>
      <w:adjustRightInd w:val="0"/>
      <w:spacing w:before="50" w:after="0" w:line="180" w:lineRule="atLeast"/>
      <w:ind w:left="40" w:right="397"/>
      <w:jc w:val="right"/>
    </w:pPr>
    <w:rPr>
      <w:rFonts w:ascii="Gill Sans CE" w:eastAsia="Times New Roman" w:hAnsi="Gill Sans CE" w:cs="Gill Sans CE"/>
      <w:sz w:val="16"/>
      <w:szCs w:val="16"/>
      <w:lang w:eastAsia="cs-CZ"/>
    </w:rPr>
  </w:style>
  <w:style w:type="table" w:customStyle="1" w:styleId="Svtlstnovn1">
    <w:name w:val="Světlé stínování1"/>
    <w:basedOn w:val="Normlntabulka"/>
    <w:uiPriority w:val="60"/>
    <w:rsid w:val="00920D7B"/>
    <w:pPr>
      <w:spacing w:after="0" w:line="240" w:lineRule="auto"/>
    </w:pPr>
    <w:rPr>
      <w:rFonts w:ascii="Calibri" w:eastAsia="Times New Roman" w:hAnsi="Calibri" w:cs="Times New Roman"/>
      <w:color w:val="000000"/>
      <w:lang w:eastAsia="cs-CZ"/>
    </w:rPr>
    <w:tblPr>
      <w:tblStyleRowBandSize w:val="1"/>
      <w:tblStyleColBandSize w:val="1"/>
    </w:tblPr>
    <w:tcPr>
      <w:shd w:val="clear" w:color="auto" w:fill="FFFFFF"/>
    </w:tc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adpis10101">
    <w:name w:val="nadpis10.10.1."/>
    <w:uiPriority w:val="99"/>
    <w:rsid w:val="00920D7B"/>
    <w:pPr>
      <w:widowControl w:val="0"/>
      <w:tabs>
        <w:tab w:val="left" w:pos="907"/>
        <w:tab w:val="left" w:pos="1814"/>
      </w:tabs>
      <w:autoSpaceDE w:val="0"/>
      <w:autoSpaceDN w:val="0"/>
      <w:adjustRightInd w:val="0"/>
      <w:spacing w:before="20" w:after="300" w:line="290" w:lineRule="atLeast"/>
      <w:ind w:left="907" w:hanging="907"/>
    </w:pPr>
    <w:rPr>
      <w:rFonts w:ascii="Gill Sans CE" w:eastAsia="Times New Roman" w:hAnsi="Gill Sans CE" w:cs="Gill Sans CE"/>
      <w:color w:val="FF0D00"/>
      <w:sz w:val="26"/>
      <w:szCs w:val="26"/>
      <w:lang w:eastAsia="cs-CZ"/>
    </w:rPr>
  </w:style>
  <w:style w:type="paragraph" w:customStyle="1" w:styleId="nadpis101">
    <w:name w:val="nadpis 10.1"/>
    <w:uiPriority w:val="99"/>
    <w:rsid w:val="00920D7B"/>
    <w:pPr>
      <w:keepNext/>
      <w:widowControl w:val="0"/>
      <w:tabs>
        <w:tab w:val="left" w:pos="737"/>
      </w:tabs>
      <w:autoSpaceDE w:val="0"/>
      <w:autoSpaceDN w:val="0"/>
      <w:adjustRightInd w:val="0"/>
      <w:spacing w:before="160" w:after="600" w:line="360" w:lineRule="atLeast"/>
      <w:ind w:left="737" w:hanging="737"/>
    </w:pPr>
    <w:rPr>
      <w:rFonts w:ascii="Gill Sans CE" w:eastAsia="Times New Roman" w:hAnsi="Gill Sans CE" w:cs="Gill Sans CE"/>
      <w:b/>
      <w:bCs/>
      <w:color w:val="FF0D00"/>
      <w:sz w:val="32"/>
      <w:szCs w:val="32"/>
      <w:lang w:eastAsia="cs-CZ"/>
    </w:rPr>
  </w:style>
  <w:style w:type="paragraph" w:customStyle="1" w:styleId="TableText-rotace">
    <w:name w:val="Table Text-rotace"/>
    <w:uiPriority w:val="99"/>
    <w:rsid w:val="00920D7B"/>
    <w:pPr>
      <w:widowControl w:val="0"/>
      <w:tabs>
        <w:tab w:val="left" w:pos="510"/>
        <w:tab w:val="left" w:pos="992"/>
      </w:tabs>
      <w:autoSpaceDE w:val="0"/>
      <w:autoSpaceDN w:val="0"/>
      <w:adjustRightInd w:val="0"/>
      <w:spacing w:before="44" w:after="0" w:line="157" w:lineRule="atLeast"/>
      <w:ind w:left="17" w:right="17"/>
    </w:pPr>
    <w:rPr>
      <w:rFonts w:ascii="Gill Sans CE" w:eastAsia="Times New Roman" w:hAnsi="Gill Sans CE" w:cs="Gill Sans CE"/>
      <w:sz w:val="14"/>
      <w:szCs w:val="14"/>
      <w:lang w:eastAsia="cs-CZ"/>
    </w:rPr>
  </w:style>
  <w:style w:type="paragraph" w:customStyle="1" w:styleId="TableText7">
    <w:name w:val="Table Text 7"/>
    <w:aliases w:val="5"/>
    <w:uiPriority w:val="99"/>
    <w:rsid w:val="00920D7B"/>
    <w:pPr>
      <w:widowControl w:val="0"/>
      <w:tabs>
        <w:tab w:val="left" w:pos="510"/>
        <w:tab w:val="left" w:pos="992"/>
      </w:tabs>
      <w:autoSpaceDE w:val="0"/>
      <w:autoSpaceDN w:val="0"/>
      <w:adjustRightInd w:val="0"/>
      <w:spacing w:before="47" w:after="0" w:line="169" w:lineRule="atLeast"/>
      <w:ind w:left="40" w:right="40"/>
    </w:pPr>
    <w:rPr>
      <w:rFonts w:ascii="Gill Sans CE" w:eastAsia="Times New Roman" w:hAnsi="Gill Sans CE" w:cs="Gill Sans CE"/>
      <w:sz w:val="15"/>
      <w:szCs w:val="15"/>
      <w:lang w:eastAsia="cs-CZ"/>
    </w:rPr>
  </w:style>
  <w:style w:type="paragraph" w:customStyle="1" w:styleId="nadpis1011">
    <w:name w:val="nadpis10.1.1."/>
    <w:uiPriority w:val="99"/>
    <w:rsid w:val="00920D7B"/>
    <w:pPr>
      <w:widowControl w:val="0"/>
      <w:tabs>
        <w:tab w:val="left" w:pos="567"/>
      </w:tabs>
      <w:autoSpaceDE w:val="0"/>
      <w:autoSpaceDN w:val="0"/>
      <w:adjustRightInd w:val="0"/>
      <w:spacing w:before="20" w:after="300" w:line="290" w:lineRule="atLeast"/>
      <w:ind w:left="737" w:hanging="737"/>
    </w:pPr>
    <w:rPr>
      <w:rFonts w:ascii="Gill Sans CE" w:eastAsia="Times New Roman" w:hAnsi="Gill Sans CE" w:cs="Gill Sans CE"/>
      <w:color w:val="FF0D00"/>
      <w:sz w:val="26"/>
      <w:szCs w:val="26"/>
      <w:lang w:eastAsia="cs-CZ"/>
    </w:rPr>
  </w:style>
  <w:style w:type="paragraph" w:customStyle="1" w:styleId="TableTextRight-01">
    <w:name w:val="Table Text Right-01"/>
    <w:uiPriority w:val="99"/>
    <w:rsid w:val="00920D7B"/>
    <w:pPr>
      <w:widowControl w:val="0"/>
      <w:tabs>
        <w:tab w:val="left" w:pos="510"/>
        <w:tab w:val="left" w:pos="992"/>
      </w:tabs>
      <w:autoSpaceDE w:val="0"/>
      <w:autoSpaceDN w:val="0"/>
      <w:adjustRightInd w:val="0"/>
      <w:spacing w:before="50" w:after="0" w:line="180" w:lineRule="atLeast"/>
      <w:ind w:left="40" w:right="170"/>
      <w:jc w:val="right"/>
    </w:pPr>
    <w:rPr>
      <w:rFonts w:ascii="Gill Sans CE" w:eastAsia="Times New Roman" w:hAnsi="Gill Sans CE" w:cs="Gill Sans CE"/>
      <w:sz w:val="16"/>
      <w:szCs w:val="16"/>
      <w:lang w:eastAsia="cs-CZ"/>
    </w:rPr>
  </w:style>
  <w:style w:type="paragraph" w:customStyle="1" w:styleId="punkt">
    <w:name w:val="punkt"/>
    <w:uiPriority w:val="99"/>
    <w:rsid w:val="00920D7B"/>
    <w:pPr>
      <w:widowControl w:val="0"/>
      <w:autoSpaceDE w:val="0"/>
      <w:autoSpaceDN w:val="0"/>
      <w:adjustRightInd w:val="0"/>
      <w:spacing w:after="0" w:line="240" w:lineRule="atLeast"/>
      <w:ind w:left="397"/>
    </w:pPr>
    <w:rPr>
      <w:rFonts w:ascii="Gill Sans CE" w:eastAsia="Times New Roman" w:hAnsi="Gill Sans CE" w:cs="Gill Sans CE"/>
      <w:sz w:val="18"/>
      <w:szCs w:val="18"/>
      <w:lang w:eastAsia="cs-CZ"/>
    </w:rPr>
  </w:style>
  <w:style w:type="paragraph" w:customStyle="1" w:styleId="nadpis-obecny">
    <w:name w:val="nadpis-obecny"/>
    <w:uiPriority w:val="99"/>
    <w:rsid w:val="00920D7B"/>
    <w:pPr>
      <w:widowControl w:val="0"/>
      <w:autoSpaceDE w:val="0"/>
      <w:autoSpaceDN w:val="0"/>
      <w:adjustRightInd w:val="0"/>
      <w:spacing w:before="40" w:line="240" w:lineRule="atLeast"/>
    </w:pPr>
    <w:rPr>
      <w:rFonts w:ascii="Gill Sans CE" w:eastAsia="Times New Roman" w:hAnsi="Gill Sans CE" w:cs="Gill Sans CE"/>
      <w:color w:val="595959"/>
      <w:lang w:eastAsia="cs-CZ"/>
    </w:rPr>
  </w:style>
  <w:style w:type="paragraph" w:customStyle="1" w:styleId="TableText-bezcar9">
    <w:name w:val="Table Text-bez car 9"/>
    <w:uiPriority w:val="99"/>
    <w:rsid w:val="00920D7B"/>
    <w:pPr>
      <w:widowControl w:val="0"/>
      <w:autoSpaceDE w:val="0"/>
      <w:autoSpaceDN w:val="0"/>
      <w:adjustRightInd w:val="0"/>
      <w:spacing w:after="0" w:line="236" w:lineRule="atLeast"/>
    </w:pPr>
    <w:rPr>
      <w:rFonts w:ascii="Gill Sans CE" w:eastAsia="Times New Roman" w:hAnsi="Gill Sans CE" w:cs="Gill Sans CE"/>
      <w:sz w:val="18"/>
      <w:szCs w:val="18"/>
      <w:lang w:eastAsia="cs-CZ"/>
    </w:rPr>
  </w:style>
  <w:style w:type="paragraph" w:customStyle="1" w:styleId="nadpis111-nad-pod-nic">
    <w:name w:val="nadpis1.1.1.-nad-pod-nic"/>
    <w:uiPriority w:val="99"/>
    <w:rsid w:val="00920D7B"/>
    <w:pPr>
      <w:widowControl w:val="0"/>
      <w:tabs>
        <w:tab w:val="left" w:pos="567"/>
      </w:tabs>
      <w:autoSpaceDE w:val="0"/>
      <w:autoSpaceDN w:val="0"/>
      <w:adjustRightInd w:val="0"/>
      <w:spacing w:before="20" w:after="40" w:line="290" w:lineRule="atLeast"/>
      <w:ind w:left="567" w:hanging="567"/>
    </w:pPr>
    <w:rPr>
      <w:rFonts w:ascii="Gill Sans CE" w:eastAsia="Times New Roman" w:hAnsi="Gill Sans CE" w:cs="Gill Sans CE"/>
      <w:color w:val="FF0D00"/>
      <w:sz w:val="26"/>
      <w:szCs w:val="26"/>
      <w:lang w:eastAsia="cs-CZ"/>
    </w:rPr>
  </w:style>
  <w:style w:type="paragraph" w:customStyle="1" w:styleId="TableTextBold">
    <w:name w:val="Table Text Bold"/>
    <w:uiPriority w:val="99"/>
    <w:rsid w:val="00920D7B"/>
    <w:pPr>
      <w:widowControl w:val="0"/>
      <w:tabs>
        <w:tab w:val="left" w:pos="510"/>
        <w:tab w:val="left" w:pos="992"/>
      </w:tabs>
      <w:autoSpaceDE w:val="0"/>
      <w:autoSpaceDN w:val="0"/>
      <w:adjustRightInd w:val="0"/>
      <w:spacing w:before="50" w:after="0" w:line="180" w:lineRule="atLeast"/>
      <w:ind w:left="40" w:right="40"/>
    </w:pPr>
    <w:rPr>
      <w:rFonts w:ascii="Gill Sans CE" w:eastAsia="Times New Roman" w:hAnsi="Gill Sans CE" w:cs="Gill Sans CE"/>
      <w:b/>
      <w:bCs/>
      <w:sz w:val="16"/>
      <w:szCs w:val="16"/>
      <w:lang w:eastAsia="cs-CZ"/>
    </w:rPr>
  </w:style>
  <w:style w:type="paragraph" w:customStyle="1" w:styleId="BodyTextnad">
    <w:name w:val="Body Text nad"/>
    <w:uiPriority w:val="99"/>
    <w:rsid w:val="00920D7B"/>
    <w:pPr>
      <w:widowControl w:val="0"/>
      <w:autoSpaceDE w:val="0"/>
      <w:autoSpaceDN w:val="0"/>
      <w:adjustRightInd w:val="0"/>
      <w:spacing w:after="120" w:line="240" w:lineRule="atLeast"/>
      <w:jc w:val="both"/>
    </w:pPr>
    <w:rPr>
      <w:rFonts w:ascii="Gill Sans CE" w:eastAsia="Times New Roman" w:hAnsi="Gill Sans CE" w:cs="Gill Sans CE"/>
      <w:sz w:val="18"/>
      <w:szCs w:val="18"/>
      <w:lang w:eastAsia="cs-CZ"/>
    </w:rPr>
  </w:style>
  <w:style w:type="paragraph" w:customStyle="1" w:styleId="odsaza">
    <w:name w:val="odsaz a)"/>
    <w:uiPriority w:val="99"/>
    <w:rsid w:val="00920D7B"/>
    <w:pPr>
      <w:widowControl w:val="0"/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jc w:val="both"/>
    </w:pPr>
    <w:rPr>
      <w:rFonts w:ascii="Gill Sans CE" w:eastAsia="Times New Roman" w:hAnsi="Gill Sans CE" w:cs="Gill Sans CE"/>
      <w:sz w:val="18"/>
      <w:szCs w:val="18"/>
      <w:lang w:eastAsia="cs-CZ"/>
    </w:rPr>
  </w:style>
  <w:style w:type="paragraph" w:customStyle="1" w:styleId="left">
    <w:name w:val="left"/>
    <w:uiPriority w:val="99"/>
    <w:rsid w:val="00920D7B"/>
    <w:pPr>
      <w:widowControl w:val="0"/>
      <w:tabs>
        <w:tab w:val="left" w:pos="1701"/>
        <w:tab w:val="left" w:pos="3402"/>
      </w:tabs>
      <w:autoSpaceDE w:val="0"/>
      <w:autoSpaceDN w:val="0"/>
      <w:adjustRightInd w:val="0"/>
      <w:spacing w:after="0" w:line="230" w:lineRule="atLeast"/>
    </w:pPr>
    <w:rPr>
      <w:rFonts w:ascii="Gill Sans CE" w:eastAsia="Times New Roman" w:hAnsi="Gill Sans CE" w:cs="Gill Sans CE"/>
      <w:sz w:val="18"/>
      <w:szCs w:val="18"/>
      <w:lang w:eastAsia="cs-CZ"/>
    </w:rPr>
  </w:style>
  <w:style w:type="paragraph" w:customStyle="1" w:styleId="odsaza-">
    <w:name w:val="odsaz a) -"/>
    <w:uiPriority w:val="99"/>
    <w:rsid w:val="00920D7B"/>
    <w:pPr>
      <w:widowControl w:val="0"/>
      <w:autoSpaceDE w:val="0"/>
      <w:autoSpaceDN w:val="0"/>
      <w:adjustRightInd w:val="0"/>
      <w:spacing w:after="0" w:line="240" w:lineRule="atLeast"/>
      <w:ind w:left="283"/>
      <w:jc w:val="both"/>
    </w:pPr>
    <w:rPr>
      <w:rFonts w:ascii="Gill Sans CE" w:eastAsia="Times New Roman" w:hAnsi="Gill Sans CE" w:cs="Gill Sans CE"/>
      <w:sz w:val="18"/>
      <w:szCs w:val="18"/>
      <w:lang w:eastAsia="cs-CZ"/>
    </w:rPr>
  </w:style>
  <w:style w:type="character" w:customStyle="1" w:styleId="monika1Char">
    <w:name w:val="monika 1 Char"/>
    <w:link w:val="monika1"/>
    <w:rsid w:val="00680397"/>
    <w:rPr>
      <w:rFonts w:ascii="Arial" w:eastAsia="Times New Roman" w:hAnsi="Arial" w:cs="Arial"/>
      <w:color w:val="0070C0"/>
      <w:kern w:val="32"/>
      <w:sz w:val="36"/>
      <w:szCs w:val="32"/>
      <w:lang w:eastAsia="cs-CZ"/>
    </w:rPr>
  </w:style>
  <w:style w:type="paragraph" w:customStyle="1" w:styleId="Nadpissti">
    <w:name w:val="Nadpis části"/>
    <w:basedOn w:val="Normln"/>
    <w:qFormat/>
    <w:rsid w:val="00920D7B"/>
    <w:pPr>
      <w:keepNext/>
      <w:spacing w:before="240" w:after="0" w:line="240" w:lineRule="auto"/>
      <w:jc w:val="left"/>
    </w:pPr>
    <w:rPr>
      <w:rFonts w:ascii="Gill Sans MT" w:eastAsia="Calibri" w:hAnsi="Gill Sans MT" w:cs="Times New Roman"/>
      <w:b/>
      <w:sz w:val="24"/>
    </w:rPr>
  </w:style>
  <w:style w:type="character" w:customStyle="1" w:styleId="hps">
    <w:name w:val="hps"/>
    <w:rsid w:val="00920D7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2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20D7B"/>
    <w:rPr>
      <w:rFonts w:ascii="Tahoma" w:hAnsi="Tahoma" w:cs="Tahoma"/>
      <w:sz w:val="16"/>
      <w:szCs w:val="16"/>
    </w:rPr>
  </w:style>
  <w:style w:type="paragraph" w:customStyle="1" w:styleId="Denisa">
    <w:name w:val="Denisa"/>
    <w:basedOn w:val="Prosttext"/>
    <w:qFormat/>
    <w:rsid w:val="00412A58"/>
    <w:pPr>
      <w:spacing w:before="240" w:after="240"/>
      <w:jc w:val="left"/>
    </w:pPr>
    <w:rPr>
      <w:rFonts w:ascii="Times New Roman" w:eastAsia="Calibri" w:hAnsi="Times New Roman" w:cs="Times New Roman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12A5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12A58"/>
    <w:rPr>
      <w:rFonts w:ascii="Consolas" w:hAnsi="Consolas" w:cs="Consolas"/>
      <w:sz w:val="21"/>
      <w:szCs w:val="21"/>
    </w:rPr>
  </w:style>
  <w:style w:type="paragraph" w:styleId="Titulek">
    <w:name w:val="caption"/>
    <w:basedOn w:val="Normln"/>
    <w:next w:val="Normln"/>
    <w:uiPriority w:val="35"/>
    <w:unhideWhenUsed/>
    <w:qFormat/>
    <w:rsid w:val="001932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pce.cz/fz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381669001994581E-2"/>
          <c:y val="0.11581918367289924"/>
          <c:w val="0.59735876435754653"/>
          <c:h val="0.75055829372745453"/>
        </c:manualLayout>
      </c:layout>
      <c:pie3DChart>
        <c:varyColors val="1"/>
        <c:ser>
          <c:idx val="0"/>
          <c:order val="0"/>
          <c:tx>
            <c:strRef>
              <c:f>'Graf výnosy 2019'!$B$3:$B$8</c:f>
              <c:strCache>
                <c:ptCount val="6"/>
                <c:pt idx="0">
                  <c:v>Vzdělávací činnost</c:v>
                </c:pt>
                <c:pt idx="1">
                  <c:v>Podpora výzkumu a vývoje MŠMT</c:v>
                </c:pt>
                <c:pt idx="2">
                  <c:v>Granty a projekty</c:v>
                </c:pt>
                <c:pt idx="3">
                  <c:v>Doplňková činnost</c:v>
                </c:pt>
                <c:pt idx="4">
                  <c:v>Fondy</c:v>
                </c:pt>
                <c:pt idx="5">
                  <c:v>Jiné příjmy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5590815485719617E-3"/>
                  <c:y val="6.7392952378557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83-465A-9880-76BA3B10D0E6}"/>
                </c:ext>
              </c:extLst>
            </c:dLbl>
            <c:dLbl>
              <c:idx val="1"/>
              <c:layout>
                <c:manualLayout>
                  <c:x val="-2.8505004765400421E-2"/>
                  <c:y val="-7.80503925604270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83-465A-9880-76BA3B10D0E6}"/>
                </c:ext>
              </c:extLst>
            </c:dLbl>
            <c:dLbl>
              <c:idx val="2"/>
              <c:layout>
                <c:manualLayout>
                  <c:x val="-2.8921819694130456E-2"/>
                  <c:y val="-5.2700295726425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83-465A-9880-76BA3B10D0E6}"/>
                </c:ext>
              </c:extLst>
            </c:dLbl>
            <c:dLbl>
              <c:idx val="3"/>
              <c:layout>
                <c:manualLayout>
                  <c:x val="-5.3822944769268263E-3"/>
                  <c:y val="-0.107701279861200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83-465A-9880-76BA3B10D0E6}"/>
                </c:ext>
              </c:extLst>
            </c:dLbl>
            <c:dLbl>
              <c:idx val="4"/>
              <c:layout>
                <c:manualLayout>
                  <c:x val="7.0454663396561881E-2"/>
                  <c:y val="-6.7441419681237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83-465A-9880-76BA3B10D0E6}"/>
                </c:ext>
              </c:extLst>
            </c:dLbl>
            <c:dLbl>
              <c:idx val="5"/>
              <c:layout>
                <c:manualLayout>
                  <c:x val="9.0207682799658476E-2"/>
                  <c:y val="2.60297573196544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83-465A-9880-76BA3B10D0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 výnosy 2019'!$B$3:$B$8</c:f>
              <c:strCache>
                <c:ptCount val="6"/>
                <c:pt idx="0">
                  <c:v>Vzdělávací činnost</c:v>
                </c:pt>
                <c:pt idx="1">
                  <c:v>Podpora výzkumu a vývoje MŠMT</c:v>
                </c:pt>
                <c:pt idx="2">
                  <c:v>Granty a projekty</c:v>
                </c:pt>
                <c:pt idx="3">
                  <c:v>Doplňková činnost</c:v>
                </c:pt>
                <c:pt idx="4">
                  <c:v>Fondy</c:v>
                </c:pt>
                <c:pt idx="5">
                  <c:v>Jiné příjmy</c:v>
                </c:pt>
              </c:strCache>
            </c:strRef>
          </c:cat>
          <c:val>
            <c:numRef>
              <c:f>'Graf výnosy 2019'!$D$3:$D$8</c:f>
              <c:numCache>
                <c:formatCode>0.00%</c:formatCode>
                <c:ptCount val="6"/>
                <c:pt idx="0">
                  <c:v>0.85952057245080504</c:v>
                </c:pt>
                <c:pt idx="1">
                  <c:v>3.9899821109123434E-2</c:v>
                </c:pt>
                <c:pt idx="2">
                  <c:v>5.8919499105545614E-2</c:v>
                </c:pt>
                <c:pt idx="3">
                  <c:v>4.1073345259391774E-3</c:v>
                </c:pt>
                <c:pt idx="4">
                  <c:v>2.4572450805008944E-2</c:v>
                </c:pt>
                <c:pt idx="5">
                  <c:v>1.2980322003577818E-2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83-465A-9880-76BA3B10D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/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141907805847755"/>
          <c:y val="3.913682777321803E-2"/>
          <c:w val="0.4957338145231846"/>
          <c:h val="0.832619568387284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'podklady pro graf3_2019'!$B$22</c:f>
              <c:strCache>
                <c:ptCount val="1"/>
                <c:pt idx="0">
                  <c:v>Vzdělávací činnost</c:v>
                </c:pt>
              </c:strCache>
            </c:strRef>
          </c:tx>
          <c:invertIfNegative val="0"/>
          <c:cat>
            <c:numRef>
              <c:f>'podklady pro graf3_2019'!$C$21:$L$21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'podklady pro graf3_2019'!$C$22:$L$22</c:f>
              <c:numCache>
                <c:formatCode>0</c:formatCode>
                <c:ptCount val="10"/>
                <c:pt idx="0">
                  <c:v>21875</c:v>
                </c:pt>
                <c:pt idx="1">
                  <c:v>22631</c:v>
                </c:pt>
                <c:pt idx="2">
                  <c:v>24884</c:v>
                </c:pt>
                <c:pt idx="3">
                  <c:v>30182</c:v>
                </c:pt>
                <c:pt idx="4">
                  <c:v>36306</c:v>
                </c:pt>
                <c:pt idx="5">
                  <c:v>34730</c:v>
                </c:pt>
                <c:pt idx="6" formatCode="General">
                  <c:v>34705</c:v>
                </c:pt>
                <c:pt idx="7" formatCode="General">
                  <c:v>34680</c:v>
                </c:pt>
                <c:pt idx="8">
                  <c:v>48978</c:v>
                </c:pt>
                <c:pt idx="9">
                  <c:v>60059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47-4814-8668-D1435D9128E7}"/>
            </c:ext>
          </c:extLst>
        </c:ser>
        <c:ser>
          <c:idx val="1"/>
          <c:order val="1"/>
          <c:tx>
            <c:strRef>
              <c:f>'podklady pro graf3_2019'!$B$23</c:f>
              <c:strCache>
                <c:ptCount val="1"/>
                <c:pt idx="0">
                  <c:v>Podpora výzkumu a vývoje MŠMT</c:v>
                </c:pt>
              </c:strCache>
            </c:strRef>
          </c:tx>
          <c:invertIfNegative val="0"/>
          <c:cat>
            <c:numRef>
              <c:f>'podklady pro graf3_2019'!$C$21:$L$21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'podklady pro graf3_2019'!$C$23:$L$23</c:f>
              <c:numCache>
                <c:formatCode>0</c:formatCode>
                <c:ptCount val="10"/>
                <c:pt idx="0">
                  <c:v>722</c:v>
                </c:pt>
                <c:pt idx="1">
                  <c:v>2363</c:v>
                </c:pt>
                <c:pt idx="2">
                  <c:v>3179</c:v>
                </c:pt>
                <c:pt idx="3">
                  <c:v>3772</c:v>
                </c:pt>
                <c:pt idx="4">
                  <c:v>3817</c:v>
                </c:pt>
                <c:pt idx="5">
                  <c:v>3924</c:v>
                </c:pt>
                <c:pt idx="6" formatCode="General">
                  <c:v>3735</c:v>
                </c:pt>
                <c:pt idx="7" formatCode="General">
                  <c:v>3439</c:v>
                </c:pt>
                <c:pt idx="8" formatCode="General">
                  <c:v>3639</c:v>
                </c:pt>
                <c:pt idx="9" formatCode="General">
                  <c:v>2788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47-4814-8668-D1435D9128E7}"/>
            </c:ext>
          </c:extLst>
        </c:ser>
        <c:ser>
          <c:idx val="2"/>
          <c:order val="2"/>
          <c:tx>
            <c:strRef>
              <c:f>'podklady pro graf3_2019'!$B$24</c:f>
              <c:strCache>
                <c:ptCount val="1"/>
                <c:pt idx="0">
                  <c:v>Granty a projekty</c:v>
                </c:pt>
              </c:strCache>
            </c:strRef>
          </c:tx>
          <c:invertIfNegative val="0"/>
          <c:cat>
            <c:numRef>
              <c:f>'podklady pro graf3_2019'!$C$21:$L$21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'podklady pro graf3_2019'!$C$24:$L$24</c:f>
              <c:numCache>
                <c:formatCode>0</c:formatCode>
                <c:ptCount val="10"/>
                <c:pt idx="0">
                  <c:v>982</c:v>
                </c:pt>
                <c:pt idx="1">
                  <c:v>3447</c:v>
                </c:pt>
                <c:pt idx="2">
                  <c:v>2329</c:v>
                </c:pt>
                <c:pt idx="3">
                  <c:v>5535</c:v>
                </c:pt>
                <c:pt idx="4">
                  <c:v>11781</c:v>
                </c:pt>
                <c:pt idx="5">
                  <c:v>8632</c:v>
                </c:pt>
                <c:pt idx="6" formatCode="General">
                  <c:v>1152</c:v>
                </c:pt>
                <c:pt idx="7" formatCode="General">
                  <c:v>3751</c:v>
                </c:pt>
                <c:pt idx="8" formatCode="General">
                  <c:v>6410</c:v>
                </c:pt>
                <c:pt idx="9" formatCode="General">
                  <c:v>4117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47-4814-8668-D1435D9128E7}"/>
            </c:ext>
          </c:extLst>
        </c:ser>
        <c:ser>
          <c:idx val="3"/>
          <c:order val="3"/>
          <c:tx>
            <c:strRef>
              <c:f>'podklady pro graf3_2019'!$B$25</c:f>
              <c:strCache>
                <c:ptCount val="1"/>
                <c:pt idx="0">
                  <c:v>Doplňková činnost</c:v>
                </c:pt>
              </c:strCache>
            </c:strRef>
          </c:tx>
          <c:invertIfNegative val="0"/>
          <c:cat>
            <c:numRef>
              <c:f>'podklady pro graf3_2019'!$C$21:$L$21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'podklady pro graf3_2019'!$C$25:$L$25</c:f>
              <c:numCache>
                <c:formatCode>0</c:formatCode>
                <c:ptCount val="10"/>
                <c:pt idx="0">
                  <c:v>0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37</c:v>
                </c:pt>
                <c:pt idx="6" formatCode="General">
                  <c:v>68</c:v>
                </c:pt>
                <c:pt idx="7" formatCode="General">
                  <c:v>77</c:v>
                </c:pt>
                <c:pt idx="8">
                  <c:v>138</c:v>
                </c:pt>
                <c:pt idx="9">
                  <c:v>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47-4814-8668-D1435D9128E7}"/>
            </c:ext>
          </c:extLst>
        </c:ser>
        <c:ser>
          <c:idx val="4"/>
          <c:order val="4"/>
          <c:tx>
            <c:strRef>
              <c:f>'podklady pro graf3_2019'!$B$26</c:f>
              <c:strCache>
                <c:ptCount val="1"/>
                <c:pt idx="0">
                  <c:v>Fondy</c:v>
                </c:pt>
              </c:strCache>
            </c:strRef>
          </c:tx>
          <c:invertIfNegative val="0"/>
          <c:cat>
            <c:numRef>
              <c:f>'podklady pro graf3_2019'!$C$21:$L$21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'podklady pro graf3_2019'!$C$26:$L$26</c:f>
              <c:numCache>
                <c:formatCode>0</c:formatCode>
                <c:ptCount val="10"/>
                <c:pt idx="0">
                  <c:v>7787</c:v>
                </c:pt>
                <c:pt idx="1">
                  <c:v>4735</c:v>
                </c:pt>
                <c:pt idx="2">
                  <c:v>10774</c:v>
                </c:pt>
                <c:pt idx="3">
                  <c:v>11814</c:v>
                </c:pt>
                <c:pt idx="4">
                  <c:v>14045</c:v>
                </c:pt>
                <c:pt idx="5">
                  <c:v>16460</c:v>
                </c:pt>
                <c:pt idx="6" formatCode="General">
                  <c:v>15673</c:v>
                </c:pt>
                <c:pt idx="7" formatCode="General">
                  <c:v>8817</c:v>
                </c:pt>
                <c:pt idx="8">
                  <c:v>5327</c:v>
                </c:pt>
                <c:pt idx="9">
                  <c:v>1718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47-4814-8668-D1435D9128E7}"/>
            </c:ext>
          </c:extLst>
        </c:ser>
        <c:ser>
          <c:idx val="5"/>
          <c:order val="5"/>
          <c:tx>
            <c:strRef>
              <c:f>'podklady pro graf3_2019'!$B$27</c:f>
              <c:strCache>
                <c:ptCount val="1"/>
                <c:pt idx="0">
                  <c:v>Jiné příjmy</c:v>
                </c:pt>
              </c:strCache>
            </c:strRef>
          </c:tx>
          <c:invertIfNegative val="0"/>
          <c:cat>
            <c:numRef>
              <c:f>'podklady pro graf3_2019'!$C$21:$L$21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'podklady pro graf3_2019'!$C$27:$L$27</c:f>
              <c:numCache>
                <c:formatCode>0</c:formatCode>
                <c:ptCount val="10"/>
                <c:pt idx="0">
                  <c:v>495</c:v>
                </c:pt>
                <c:pt idx="1">
                  <c:v>778</c:v>
                </c:pt>
                <c:pt idx="2">
                  <c:v>850</c:v>
                </c:pt>
                <c:pt idx="3">
                  <c:v>826</c:v>
                </c:pt>
                <c:pt idx="4">
                  <c:v>697</c:v>
                </c:pt>
                <c:pt idx="5">
                  <c:v>802</c:v>
                </c:pt>
                <c:pt idx="6" formatCode="General">
                  <c:v>1097</c:v>
                </c:pt>
                <c:pt idx="7" formatCode="General">
                  <c:v>923</c:v>
                </c:pt>
                <c:pt idx="8">
                  <c:v>1028</c:v>
                </c:pt>
                <c:pt idx="9">
                  <c:v>907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47-4814-8668-D1435D9128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388928"/>
        <c:axId val="107390464"/>
      </c:barChart>
      <c:catAx>
        <c:axId val="10738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390464"/>
        <c:crosses val="autoZero"/>
        <c:auto val="1"/>
        <c:lblAlgn val="ctr"/>
        <c:lblOffset val="100"/>
        <c:noMultiLvlLbl val="0"/>
      </c:catAx>
      <c:valAx>
        <c:axId val="1073904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tisíce Kč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107388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93475157710551"/>
          <c:y val="8.3248968878890134E-2"/>
          <c:w val="0.28306524842289449"/>
          <c:h val="0.91675103112110989"/>
        </c:manualLayout>
      </c:layout>
      <c:overlay val="0"/>
      <c:txPr>
        <a:bodyPr/>
        <a:lstStyle/>
        <a:p>
          <a:pPr>
            <a:defRPr sz="1200"/>
          </a:pPr>
          <a:endParaRPr lang="cs-CZ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738057742782149E-2"/>
          <c:y val="0.11637179952933163"/>
          <c:w val="0.63909501312335959"/>
          <c:h val="0.79034442053161225"/>
        </c:manualLayout>
      </c:layout>
      <c:pie3DChart>
        <c:varyColors val="1"/>
        <c:ser>
          <c:idx val="0"/>
          <c:order val="0"/>
          <c:explosion val="23"/>
          <c:dLbls>
            <c:dLbl>
              <c:idx val="0"/>
              <c:layout>
                <c:manualLayout>
                  <c:x val="-6.6666666666666805E-2"/>
                  <c:y val="-0.3578643036492705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1F-49F8-8DE0-E4046FEC48AF}"/>
                </c:ext>
              </c:extLst>
            </c:dLbl>
            <c:dLbl>
              <c:idx val="1"/>
              <c:layout>
                <c:manualLayout>
                  <c:x val="-2.4761904761904763E-2"/>
                  <c:y val="-2.30880195902755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1F-49F8-8DE0-E4046FEC48AF}"/>
                </c:ext>
              </c:extLst>
            </c:dLbl>
            <c:dLbl>
              <c:idx val="2"/>
              <c:layout>
                <c:manualLayout>
                  <c:x val="-4.3650289398925692E-18"/>
                  <c:y val="5.77200489756888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1F-49F8-8DE0-E4046FEC48AF}"/>
                </c:ext>
              </c:extLst>
            </c:dLbl>
            <c:dLbl>
              <c:idx val="3"/>
              <c:layout>
                <c:manualLayout>
                  <c:x val="-2.8571428571428577E-2"/>
                  <c:y val="7.696006530091840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1F-49F8-8DE0-E4046FEC48AF}"/>
                </c:ext>
              </c:extLst>
            </c:dLbl>
            <c:dLbl>
              <c:idx val="4"/>
              <c:layout>
                <c:manualLayout>
                  <c:x val="-8.7300578797851384E-18"/>
                  <c:y val="-2.693602285532143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1F-49F8-8DE0-E4046FEC48AF}"/>
                </c:ext>
              </c:extLst>
            </c:dLbl>
            <c:dLbl>
              <c:idx val="5"/>
              <c:layout>
                <c:manualLayout>
                  <c:x val="0"/>
                  <c:y val="-2.693602285532143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1F-49F8-8DE0-E4046FEC48AF}"/>
                </c:ext>
              </c:extLst>
            </c:dLbl>
            <c:dLbl>
              <c:idx val="6"/>
              <c:layout>
                <c:manualLayout>
                  <c:x val="0"/>
                  <c:y val="-5.77200489756888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1F-49F8-8DE0-E4046FEC48AF}"/>
                </c:ext>
              </c:extLst>
            </c:dLbl>
            <c:dLbl>
              <c:idx val="7"/>
              <c:layout>
                <c:manualLayout>
                  <c:x val="3.8095238095238095E-3"/>
                  <c:y val="-4.2328035915505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1F-49F8-8DE0-E4046FEC48AF}"/>
                </c:ext>
              </c:extLst>
            </c:dLbl>
            <c:dLbl>
              <c:idx val="8"/>
              <c:layout>
                <c:manualLayout>
                  <c:x val="7.619047619047619E-3"/>
                  <c:y val="-3.46320293854132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41F-49F8-8DE0-E4046FEC48A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'NIV_náklady_podklad Graf2_2019'!$E$3:$E$11</c:f>
              <c:strCache>
                <c:ptCount val="9"/>
                <c:pt idx="0">
                  <c:v>osobní náklady</c:v>
                </c:pt>
                <c:pt idx="1">
                  <c:v>celouniverzitní náklady</c:v>
                </c:pt>
                <c:pt idx="2">
                  <c:v>materiálové náklady</c:v>
                </c:pt>
                <c:pt idx="3">
                  <c:v>spotřebované energie</c:v>
                </c:pt>
                <c:pt idx="4">
                  <c:v>služby</c:v>
                </c:pt>
                <c:pt idx="5">
                  <c:v>stipendia</c:v>
                </c:pt>
                <c:pt idx="6">
                  <c:v>cestovné</c:v>
                </c:pt>
                <c:pt idx="7">
                  <c:v>tvorba fondů</c:v>
                </c:pt>
                <c:pt idx="8">
                  <c:v>ostatní</c:v>
                </c:pt>
              </c:strCache>
            </c:strRef>
          </c:cat>
          <c:val>
            <c:numRef>
              <c:f>'NIV_náklady_podklad Graf2_2019'!$F$3:$F$11</c:f>
              <c:numCache>
                <c:formatCode>0.00%</c:formatCode>
                <c:ptCount val="9"/>
                <c:pt idx="0">
                  <c:v>0.5257236119937605</c:v>
                </c:pt>
                <c:pt idx="1">
                  <c:v>0.20457565428389854</c:v>
                </c:pt>
                <c:pt idx="2">
                  <c:v>2.2676064475128547E-2</c:v>
                </c:pt>
                <c:pt idx="3">
                  <c:v>1.8299728464960426E-2</c:v>
                </c:pt>
                <c:pt idx="4">
                  <c:v>2.5593621815240625E-2</c:v>
                </c:pt>
                <c:pt idx="5">
                  <c:v>2.7095730544803281E-2</c:v>
                </c:pt>
                <c:pt idx="6">
                  <c:v>1.1525795828759604E-2</c:v>
                </c:pt>
                <c:pt idx="7">
                  <c:v>0.1407938066901612</c:v>
                </c:pt>
                <c:pt idx="8">
                  <c:v>2.3715985903287308E-2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41F-49F8-8DE0-E4046FEC48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09112127593931"/>
          <c:y val="3.271460301160331E-2"/>
          <c:w val="0.85646594857073866"/>
          <c:h val="0.83098576517327005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HV2019_podklad_Graf4!$M$9:$M$21</c:f>
              <c:numCache>
                <c:formatCode>General</c:formatCod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</c:numCache>
            </c:numRef>
          </c:cat>
          <c:val>
            <c:numRef>
              <c:f>HV2019_podklad_Graf4!$N$9:$N$21</c:f>
              <c:numCache>
                <c:formatCode>General</c:formatCode>
                <c:ptCount val="13"/>
                <c:pt idx="0">
                  <c:v>157</c:v>
                </c:pt>
                <c:pt idx="1">
                  <c:v>399</c:v>
                </c:pt>
                <c:pt idx="2">
                  <c:v>243</c:v>
                </c:pt>
                <c:pt idx="3">
                  <c:v>455</c:v>
                </c:pt>
                <c:pt idx="4">
                  <c:v>533</c:v>
                </c:pt>
                <c:pt idx="5">
                  <c:v>751</c:v>
                </c:pt>
                <c:pt idx="6">
                  <c:v>586</c:v>
                </c:pt>
                <c:pt idx="7">
                  <c:v>460</c:v>
                </c:pt>
                <c:pt idx="8">
                  <c:v>339</c:v>
                </c:pt>
                <c:pt idx="9">
                  <c:v>464</c:v>
                </c:pt>
                <c:pt idx="10">
                  <c:v>407</c:v>
                </c:pt>
                <c:pt idx="11">
                  <c:v>523</c:v>
                </c:pt>
                <c:pt idx="12">
                  <c:v>640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BB-4B95-B0AA-E9CA1B9057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7283968"/>
        <c:axId val="107285888"/>
      </c:lineChart>
      <c:catAx>
        <c:axId val="107283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rok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7285888"/>
        <c:crosses val="autoZero"/>
        <c:auto val="1"/>
        <c:lblAlgn val="ctr"/>
        <c:lblOffset val="100"/>
        <c:noMultiLvlLbl val="0"/>
      </c:catAx>
      <c:valAx>
        <c:axId val="107285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tis. Kč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7283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0E77-5068-4030-8698-3D9740D2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Vodova Monika</cp:lastModifiedBy>
  <cp:revision>5</cp:revision>
  <cp:lastPrinted>2020-03-12T09:57:00Z</cp:lastPrinted>
  <dcterms:created xsi:type="dcterms:W3CDTF">2020-04-01T08:13:00Z</dcterms:created>
  <dcterms:modified xsi:type="dcterms:W3CDTF">2020-04-21T06:56:00Z</dcterms:modified>
</cp:coreProperties>
</file>